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50" w:rsidRPr="00642EFA" w:rsidRDefault="00E16C50" w:rsidP="00642EFA">
      <w:pPr>
        <w:spacing w:line="280" w:lineRule="exact"/>
        <w:jc w:val="center"/>
        <w:rPr>
          <w:rFonts w:eastAsia="Calibri"/>
          <w:b/>
        </w:rPr>
      </w:pPr>
      <w:r w:rsidRPr="00642EFA">
        <w:rPr>
          <w:rFonts w:eastAsia="Calibri"/>
          <w:b/>
        </w:rPr>
        <w:t xml:space="preserve">ĐÁNH GIÁ TÍNH BỀN VỮNG CỦA CHUYỂN DỊCH CƠ CẤU KINH TẾ NGÀNH </w:t>
      </w:r>
    </w:p>
    <w:p w:rsidR="00E16C50" w:rsidRDefault="00E16C50" w:rsidP="00642EFA">
      <w:pPr>
        <w:spacing w:line="280" w:lineRule="exact"/>
        <w:jc w:val="center"/>
        <w:rPr>
          <w:rFonts w:eastAsia="Calibri"/>
          <w:b/>
        </w:rPr>
      </w:pPr>
      <w:r w:rsidRPr="00642EFA">
        <w:rPr>
          <w:rFonts w:eastAsia="Calibri"/>
          <w:b/>
        </w:rPr>
        <w:t>TRÊN ĐỊA BÀN TỈNH THÁI NGUYÊN GIAI ĐOẠN 2006 – 2012</w:t>
      </w:r>
    </w:p>
    <w:p w:rsidR="00642EFA" w:rsidRPr="00642EFA" w:rsidRDefault="00642EFA" w:rsidP="00642EFA">
      <w:pPr>
        <w:spacing w:line="280" w:lineRule="exact"/>
        <w:jc w:val="center"/>
        <w:rPr>
          <w:rFonts w:eastAsia="Calibri"/>
          <w:b/>
        </w:rPr>
      </w:pPr>
    </w:p>
    <w:p w:rsidR="00E16C50" w:rsidRPr="00916FE2" w:rsidRDefault="00E16C50" w:rsidP="00E16C50">
      <w:pPr>
        <w:pStyle w:val="NormalWeb"/>
        <w:spacing w:before="0" w:beforeAutospacing="0" w:after="0" w:afterAutospacing="0" w:line="288" w:lineRule="auto"/>
        <w:ind w:firstLine="720"/>
        <w:jc w:val="right"/>
        <w:rPr>
          <w:b/>
          <w:sz w:val="22"/>
          <w:szCs w:val="22"/>
          <w:vertAlign w:val="superscript"/>
        </w:rPr>
      </w:pPr>
      <w:r w:rsidRPr="00916FE2">
        <w:rPr>
          <w:sz w:val="22"/>
          <w:szCs w:val="22"/>
        </w:rPr>
        <w:t xml:space="preserve">                   </w:t>
      </w:r>
      <w:r w:rsidRPr="00916FE2">
        <w:rPr>
          <w:b/>
          <w:sz w:val="22"/>
          <w:szCs w:val="22"/>
        </w:rPr>
        <w:t>Phạm Thị Nga</w:t>
      </w:r>
    </w:p>
    <w:p w:rsidR="00E16C50" w:rsidRPr="00916FE2" w:rsidRDefault="00E16C50" w:rsidP="00E16C50">
      <w:pPr>
        <w:tabs>
          <w:tab w:val="left" w:pos="8040"/>
        </w:tabs>
        <w:spacing w:line="288" w:lineRule="auto"/>
        <w:ind w:left="720"/>
        <w:rPr>
          <w:i/>
          <w:sz w:val="22"/>
          <w:szCs w:val="22"/>
          <w:vertAlign w:val="superscript"/>
        </w:rPr>
      </w:pPr>
      <w:r w:rsidRPr="00916FE2">
        <w:rPr>
          <w:sz w:val="22"/>
          <w:szCs w:val="22"/>
        </w:rPr>
        <w:t xml:space="preserve">                          </w:t>
      </w:r>
      <w:r>
        <w:rPr>
          <w:sz w:val="22"/>
          <w:szCs w:val="22"/>
        </w:rPr>
        <w:t xml:space="preserve">                    </w:t>
      </w:r>
      <w:r w:rsidRPr="00916FE2">
        <w:rPr>
          <w:sz w:val="22"/>
          <w:szCs w:val="22"/>
        </w:rPr>
        <w:t xml:space="preserve">   </w:t>
      </w:r>
      <w:r w:rsidRPr="00916FE2">
        <w:rPr>
          <w:i/>
          <w:sz w:val="22"/>
          <w:szCs w:val="22"/>
        </w:rPr>
        <w:t>Trường Đại học Kinh tế &amp; Quản trị kinh doanh – ĐH Thái Nguyên</w:t>
      </w:r>
      <w:r w:rsidRPr="00916FE2">
        <w:rPr>
          <w:i/>
          <w:sz w:val="22"/>
          <w:szCs w:val="22"/>
          <w:vertAlign w:val="superscript"/>
        </w:rPr>
        <w:t xml:space="preserve">                         </w:t>
      </w:r>
    </w:p>
    <w:p w:rsidR="00E16C50" w:rsidRPr="00C00460" w:rsidRDefault="00E16C50" w:rsidP="00C00460">
      <w:pPr>
        <w:tabs>
          <w:tab w:val="right" w:pos="9000"/>
        </w:tabs>
        <w:spacing w:line="288" w:lineRule="auto"/>
        <w:ind w:left="720"/>
        <w:jc w:val="right"/>
        <w:rPr>
          <w:i/>
          <w:sz w:val="22"/>
          <w:szCs w:val="22"/>
        </w:rPr>
      </w:pPr>
      <w:r w:rsidRPr="00916FE2">
        <w:rPr>
          <w:i/>
          <w:sz w:val="22"/>
          <w:szCs w:val="22"/>
        </w:rPr>
        <w:t xml:space="preserve">                                                      Tel: 0962 260 638, Email: </w:t>
      </w:r>
      <w:hyperlink r:id="rId6" w:history="1">
        <w:r w:rsidRPr="00916FE2">
          <w:rPr>
            <w:rStyle w:val="Hyperlink"/>
            <w:i/>
            <w:sz w:val="22"/>
            <w:szCs w:val="22"/>
          </w:rPr>
          <w:t>vietanh8909@gmail.com</w:t>
        </w:r>
      </w:hyperlink>
    </w:p>
    <w:p w:rsidR="00E16C50" w:rsidRPr="00642EFA" w:rsidRDefault="00E16C50" w:rsidP="00E16C50">
      <w:pPr>
        <w:spacing w:line="360" w:lineRule="auto"/>
        <w:jc w:val="both"/>
        <w:rPr>
          <w:rFonts w:eastAsia="Calibri"/>
          <w:sz w:val="22"/>
        </w:rPr>
      </w:pPr>
      <w:r w:rsidRPr="00A967FE">
        <w:rPr>
          <w:b/>
          <w:sz w:val="22"/>
          <w:szCs w:val="22"/>
        </w:rPr>
        <w:t>TÓM TẮT:</w:t>
      </w:r>
      <w:r w:rsidRPr="00A967FE">
        <w:rPr>
          <w:b/>
        </w:rPr>
        <w:t xml:space="preserve"> </w:t>
      </w:r>
      <w:r w:rsidRPr="00642EFA">
        <w:rPr>
          <w:rFonts w:eastAsia="Calibri"/>
          <w:sz w:val="22"/>
        </w:rPr>
        <w:t>Quá trình chuyển dịch cơ cấu kinh tế ngành của tỉnh Thái Nguyên thời gian qua tuy đã đạt được những thay đổi nhất định trong cơ cấu GDP và trong nội bộ mỗi ngành. Tuy nhiên, có hai vấn đề cơ bản cần được lưu ý. Thứ nhất, tuy cơ cấu ngành kinh tế vĩ mô cũng như cơ cấu nội bộ mỗi ngành kinh tế có sự chuyển dịch theo hướng tích cực, nhưng tốc độ còn chậm. Mặt khác, vẫn còn tiềm ẩn nhiều nhân tố chưa đảm bảo sự phát triển bền vững của nền kinh tế trên cả 3 phương diện: kinh tế, xã hội và môi trường. Thứ hai, mặt hạn chế đặc biệt đáng lo ngại nhất là cơ cấu lao động có quá ít sự thay đổi. Phần lớn lao động tăng thêm vẫn còn nằm lại trong khu vực nông nghiệp, năng suất thấp và nguồn lao động chủ yếu vẫn là lao động phổ thông, chưa có nhiều cơ hội để tự thực hiện chuyển đổi một cách linh hoạt. Trong bối cảnh đó, bài viết phân tích và đánh giá tính bền vững của chuyển dịch cơ cấu kinh tế ngành trên địa bàn tỉnh Thái Nguyên giai đoạn 2006 – 2012.</w:t>
      </w:r>
    </w:p>
    <w:p w:rsidR="00E16C50" w:rsidRDefault="00E16C50" w:rsidP="00E16C50">
      <w:pPr>
        <w:spacing w:line="360" w:lineRule="auto"/>
        <w:jc w:val="both"/>
        <w:rPr>
          <w:i/>
          <w:noProof/>
          <w:sz w:val="22"/>
          <w:szCs w:val="22"/>
        </w:rPr>
      </w:pPr>
      <w:r w:rsidRPr="00E712D5">
        <w:rPr>
          <w:b/>
          <w:noProof/>
          <w:sz w:val="22"/>
          <w:szCs w:val="22"/>
        </w:rPr>
        <w:t xml:space="preserve">Từ khóa: </w:t>
      </w:r>
      <w:r>
        <w:rPr>
          <w:i/>
          <w:noProof/>
          <w:sz w:val="22"/>
          <w:szCs w:val="22"/>
        </w:rPr>
        <w:t>đánh giá,tính bền vững, chuyển dịch cơ cấu kinh tế ngành, tỉnh Thái Nguyên</w:t>
      </w:r>
    </w:p>
    <w:p w:rsidR="00E16C50" w:rsidRDefault="00E16C50" w:rsidP="00E16C50">
      <w:pPr>
        <w:spacing w:line="360" w:lineRule="auto"/>
        <w:jc w:val="both"/>
        <w:rPr>
          <w:noProof/>
          <w:sz w:val="22"/>
          <w:szCs w:val="22"/>
        </w:rPr>
        <w:sectPr w:rsidR="00E16C50" w:rsidSect="0086102D">
          <w:footerReference w:type="default" r:id="rId7"/>
          <w:pgSz w:w="12240" w:h="15840"/>
          <w:pgMar w:top="1440" w:right="1440" w:bottom="1440" w:left="1440" w:header="720" w:footer="720" w:gutter="0"/>
          <w:cols w:space="720"/>
          <w:docGrid w:linePitch="360"/>
        </w:sectPr>
      </w:pPr>
    </w:p>
    <w:p w:rsidR="00E16C50" w:rsidRPr="00642EFA" w:rsidRDefault="00E16C50" w:rsidP="00642EFA">
      <w:pPr>
        <w:spacing w:line="280" w:lineRule="exact"/>
        <w:ind w:firstLine="340"/>
        <w:jc w:val="both"/>
        <w:rPr>
          <w:rFonts w:eastAsia="Calibri"/>
          <w:b/>
          <w:sz w:val="22"/>
        </w:rPr>
      </w:pPr>
      <w:r w:rsidRPr="00642EFA">
        <w:rPr>
          <w:rFonts w:eastAsia="Calibri"/>
          <w:b/>
          <w:sz w:val="22"/>
        </w:rPr>
        <w:lastRenderedPageBreak/>
        <w:t>CHUYỂN DỊCH CƠ CẤU KINH TẾ NGÀNH VÀ SỰ BỀN VỮNG CỦA BẢN THÂN CƠ CẤU KINH TẾ</w:t>
      </w:r>
    </w:p>
    <w:p w:rsidR="00E16C50" w:rsidRPr="00642EFA" w:rsidRDefault="00E16C50" w:rsidP="00642EFA">
      <w:pPr>
        <w:spacing w:line="280" w:lineRule="exact"/>
        <w:ind w:firstLine="340"/>
        <w:jc w:val="both"/>
        <w:rPr>
          <w:rFonts w:eastAsia="Calibri"/>
          <w:i/>
          <w:sz w:val="22"/>
        </w:rPr>
      </w:pPr>
      <w:r w:rsidRPr="00642EFA">
        <w:rPr>
          <w:rFonts w:eastAsia="Calibri"/>
          <w:i/>
          <w:sz w:val="22"/>
        </w:rPr>
        <w:t xml:space="preserve">Tốc </w:t>
      </w:r>
      <w:r w:rsidRPr="00642EFA">
        <w:rPr>
          <w:rFonts w:eastAsia="Calibri" w:hint="eastAsia"/>
          <w:i/>
          <w:sz w:val="22"/>
        </w:rPr>
        <w:t>đ</w:t>
      </w:r>
      <w:r w:rsidRPr="00642EFA">
        <w:rPr>
          <w:rFonts w:eastAsia="Calibri"/>
          <w:i/>
          <w:sz w:val="22"/>
        </w:rPr>
        <w:t>ộ t</w:t>
      </w:r>
      <w:r w:rsidRPr="00642EFA">
        <w:rPr>
          <w:rFonts w:eastAsia="Calibri" w:hint="eastAsia"/>
          <w:i/>
          <w:sz w:val="22"/>
        </w:rPr>
        <w:t>ă</w:t>
      </w:r>
      <w:r w:rsidRPr="00642EFA">
        <w:rPr>
          <w:rFonts w:eastAsia="Calibri"/>
          <w:i/>
          <w:sz w:val="22"/>
        </w:rPr>
        <w:t>ng tr</w:t>
      </w:r>
      <w:r w:rsidRPr="00642EFA">
        <w:rPr>
          <w:rFonts w:eastAsia="Calibri" w:hint="eastAsia"/>
          <w:i/>
          <w:sz w:val="22"/>
        </w:rPr>
        <w:t>ư</w:t>
      </w:r>
      <w:r w:rsidRPr="00642EFA">
        <w:rPr>
          <w:rFonts w:eastAsia="Calibri"/>
          <w:i/>
          <w:sz w:val="22"/>
        </w:rPr>
        <w:t xml:space="preserve">ởng kinh tế không ổn </w:t>
      </w:r>
      <w:r w:rsidRPr="00642EFA">
        <w:rPr>
          <w:rFonts w:eastAsia="Calibri" w:hint="eastAsia"/>
          <w:i/>
          <w:sz w:val="22"/>
        </w:rPr>
        <w:t>đ</w:t>
      </w:r>
      <w:r w:rsidRPr="00642EFA">
        <w:rPr>
          <w:rFonts w:eastAsia="Calibri"/>
          <w:i/>
          <w:sz w:val="22"/>
        </w:rPr>
        <w:t xml:space="preserve">ịnh và có xu hướng giảm, GDP bình quân </w:t>
      </w:r>
      <w:r w:rsidRPr="00642EFA">
        <w:rPr>
          <w:rFonts w:eastAsia="Calibri" w:hint="eastAsia"/>
          <w:i/>
          <w:sz w:val="22"/>
        </w:rPr>
        <w:t>đ</w:t>
      </w:r>
      <w:r w:rsidRPr="00642EFA">
        <w:rPr>
          <w:rFonts w:eastAsia="Calibri"/>
          <w:i/>
          <w:sz w:val="22"/>
        </w:rPr>
        <w:t>ầu ng</w:t>
      </w:r>
      <w:r w:rsidRPr="00642EFA">
        <w:rPr>
          <w:rFonts w:eastAsia="Calibri" w:hint="eastAsia"/>
          <w:i/>
          <w:sz w:val="22"/>
        </w:rPr>
        <w:t>ư</w:t>
      </w:r>
      <w:r w:rsidRPr="00642EFA">
        <w:rPr>
          <w:rFonts w:eastAsia="Calibri"/>
          <w:i/>
          <w:sz w:val="22"/>
        </w:rPr>
        <w:t>ời t</w:t>
      </w:r>
      <w:r w:rsidRPr="00642EFA">
        <w:rPr>
          <w:rFonts w:eastAsia="Calibri" w:hint="eastAsia"/>
          <w:i/>
          <w:sz w:val="22"/>
        </w:rPr>
        <w:t>ă</w:t>
      </w:r>
      <w:r w:rsidRPr="00642EFA">
        <w:rPr>
          <w:rFonts w:eastAsia="Calibri"/>
          <w:i/>
          <w:sz w:val="22"/>
        </w:rPr>
        <w:t>ng lên liên tục, nh</w:t>
      </w:r>
      <w:r w:rsidRPr="00642EFA">
        <w:rPr>
          <w:rFonts w:eastAsia="Calibri" w:hint="eastAsia"/>
          <w:i/>
          <w:sz w:val="22"/>
        </w:rPr>
        <w:t>ư</w:t>
      </w:r>
      <w:r w:rsidRPr="00642EFA">
        <w:rPr>
          <w:rFonts w:eastAsia="Calibri"/>
          <w:i/>
          <w:sz w:val="22"/>
        </w:rPr>
        <w:t>ng ch</w:t>
      </w:r>
      <w:r w:rsidRPr="00642EFA">
        <w:rPr>
          <w:rFonts w:eastAsia="Calibri" w:hint="eastAsia"/>
          <w:i/>
          <w:sz w:val="22"/>
        </w:rPr>
        <w:t>ư</w:t>
      </w:r>
      <w:r w:rsidRPr="00642EFA">
        <w:rPr>
          <w:rFonts w:eastAsia="Calibri"/>
          <w:i/>
          <w:sz w:val="22"/>
        </w:rPr>
        <w:t>a t</w:t>
      </w:r>
      <w:r w:rsidRPr="00642EFA">
        <w:rPr>
          <w:rFonts w:eastAsia="Calibri" w:hint="eastAsia"/>
          <w:i/>
          <w:sz w:val="22"/>
        </w:rPr>
        <w:t>ươ</w:t>
      </w:r>
      <w:r w:rsidRPr="00642EFA">
        <w:rPr>
          <w:rFonts w:eastAsia="Calibri"/>
          <w:i/>
          <w:sz w:val="22"/>
        </w:rPr>
        <w:t>ng xứng với tiềm n</w:t>
      </w:r>
      <w:r w:rsidRPr="00642EFA">
        <w:rPr>
          <w:rFonts w:eastAsia="Calibri" w:hint="eastAsia"/>
          <w:i/>
          <w:sz w:val="22"/>
        </w:rPr>
        <w:t>ă</w:t>
      </w:r>
      <w:r w:rsidRPr="00642EFA">
        <w:rPr>
          <w:rFonts w:eastAsia="Calibri"/>
          <w:i/>
          <w:sz w:val="22"/>
        </w:rPr>
        <w:t>ng, thế mạnh của tỉnh</w:t>
      </w:r>
    </w:p>
    <w:p w:rsidR="00E16C50" w:rsidRPr="00642EFA" w:rsidRDefault="00E16C50" w:rsidP="00642EFA">
      <w:pPr>
        <w:spacing w:line="280" w:lineRule="exact"/>
        <w:ind w:firstLine="340"/>
        <w:jc w:val="both"/>
        <w:rPr>
          <w:rFonts w:eastAsia="Calibri"/>
          <w:sz w:val="22"/>
        </w:rPr>
      </w:pPr>
      <w:r w:rsidRPr="00642EFA">
        <w:rPr>
          <w:rFonts w:eastAsia="Calibri"/>
          <w:sz w:val="22"/>
        </w:rPr>
        <w:t xml:space="preserve">Tốc độ tăng trưởng kinh tế bình quân giai đoạn 2006 – 2012 đạt 10,1%, không đạt mục </w:t>
      </w:r>
      <w:r w:rsidRPr="00642EFA">
        <w:rPr>
          <w:rFonts w:eastAsia="Calibri"/>
          <w:sz w:val="22"/>
        </w:rPr>
        <w:lastRenderedPageBreak/>
        <w:t xml:space="preserve">tiêu kế hoạch đề ra là 12 – 13%. Riêng năm 2007 có tốc độ tăng trưởng kinh tế cao nhất (12,63%). Đặc biệt, giai đoạn 2008 – 2012 lại chứng kiến sự sụt giảm mạnh trong tốc độ tăng trưởng kinh tế toàn tỉnh (năm 2008 đạt 11,54%), năm 2009 (một năm sau khủng hoảng kinh tế thế giới và Việt Nam), tăng trưởng kinh tế của tỉnh giảm xuống 9,32%. </w:t>
      </w:r>
    </w:p>
    <w:p w:rsidR="00E16C50" w:rsidRPr="00642EFA" w:rsidRDefault="00E16C50" w:rsidP="00642EFA">
      <w:pPr>
        <w:spacing w:line="280" w:lineRule="exact"/>
        <w:jc w:val="both"/>
        <w:rPr>
          <w:rFonts w:eastAsia="Calibri"/>
          <w:sz w:val="22"/>
        </w:rPr>
        <w:sectPr w:rsidR="00E16C50" w:rsidRPr="00642EFA" w:rsidSect="00AC6FD7">
          <w:type w:val="continuous"/>
          <w:pgSz w:w="12240" w:h="15840"/>
          <w:pgMar w:top="1440" w:right="1440" w:bottom="1440" w:left="1440" w:header="720" w:footer="720" w:gutter="0"/>
          <w:cols w:num="2" w:space="720"/>
          <w:docGrid w:linePitch="360"/>
        </w:sectPr>
      </w:pPr>
    </w:p>
    <w:p w:rsidR="00E16C50" w:rsidRPr="00642EFA" w:rsidRDefault="00E16C50" w:rsidP="00642EFA">
      <w:pPr>
        <w:spacing w:line="280" w:lineRule="exact"/>
        <w:jc w:val="both"/>
        <w:rPr>
          <w:rFonts w:eastAsia="Calibri"/>
          <w:sz w:val="22"/>
        </w:rPr>
        <w:sectPr w:rsidR="00E16C50" w:rsidRPr="00642EFA" w:rsidSect="00601C0A">
          <w:type w:val="continuous"/>
          <w:pgSz w:w="12240" w:h="15840"/>
          <w:pgMar w:top="1440" w:right="1440" w:bottom="1440" w:left="1440" w:header="720" w:footer="720" w:gutter="0"/>
          <w:cols w:space="720"/>
          <w:docGrid w:linePitch="360"/>
        </w:sectPr>
      </w:pPr>
    </w:p>
    <w:p w:rsidR="00E16C50" w:rsidRPr="00642EFA" w:rsidRDefault="00E16C50" w:rsidP="00C00460">
      <w:pPr>
        <w:pStyle w:val="abc"/>
        <w:spacing w:line="240" w:lineRule="exact"/>
        <w:ind w:firstLine="346"/>
        <w:rPr>
          <w:rFonts w:ascii="Times New Roman" w:eastAsia="Calibri" w:hAnsi="Times New Roman"/>
          <w:b/>
          <w:snapToGrid/>
          <w:sz w:val="22"/>
        </w:rPr>
      </w:pPr>
      <w:r w:rsidRPr="00642EFA">
        <w:rPr>
          <w:rFonts w:ascii="Times New Roman" w:eastAsia="Calibri" w:hAnsi="Times New Roman"/>
          <w:b/>
          <w:snapToGrid/>
          <w:sz w:val="22"/>
        </w:rPr>
        <w:lastRenderedPageBreak/>
        <w:t xml:space="preserve">Bảng 1: Tốc độ tăng trưởng kinh tế của tỉnh Thái Nguyên so với cả nước và một số tỉnh lân cận </w:t>
      </w:r>
    </w:p>
    <w:p w:rsidR="00E16C50" w:rsidRPr="00642EFA" w:rsidRDefault="00E16C50" w:rsidP="00C00460">
      <w:pPr>
        <w:pStyle w:val="abc"/>
        <w:spacing w:line="240" w:lineRule="exact"/>
        <w:ind w:firstLine="346"/>
        <w:jc w:val="center"/>
        <w:rPr>
          <w:rFonts w:ascii="Times New Roman" w:eastAsia="Calibri" w:hAnsi="Times New Roman"/>
          <w:b/>
          <w:snapToGrid/>
          <w:sz w:val="22"/>
        </w:rPr>
      </w:pPr>
      <w:r w:rsidRPr="00642EFA">
        <w:rPr>
          <w:rFonts w:ascii="Times New Roman" w:eastAsia="Calibri" w:hAnsi="Times New Roman"/>
          <w:b/>
          <w:snapToGrid/>
          <w:sz w:val="22"/>
        </w:rPr>
        <w:t>giai đoạn 2011 – 2012</w:t>
      </w:r>
    </w:p>
    <w:p w:rsidR="00E16C50" w:rsidRPr="00A23C40" w:rsidRDefault="00E16C50" w:rsidP="00C00460">
      <w:pPr>
        <w:pStyle w:val="abc"/>
        <w:spacing w:line="240" w:lineRule="exact"/>
        <w:ind w:firstLine="346"/>
        <w:jc w:val="center"/>
        <w:rPr>
          <w:rFonts w:ascii="Times New Roman" w:hAnsi="Times New Roman"/>
          <w:i/>
          <w:sz w:val="22"/>
          <w:szCs w:val="22"/>
          <w:lang w:val="it-IT"/>
        </w:rPr>
      </w:pPr>
      <w:r w:rsidRPr="00642EFA">
        <w:rPr>
          <w:rFonts w:ascii="Times New Roman" w:eastAsia="Calibri" w:hAnsi="Times New Roman"/>
          <w:b/>
          <w:snapToGrid/>
          <w:sz w:val="22"/>
        </w:rPr>
        <w:t xml:space="preserve">                                                                                                     </w:t>
      </w:r>
      <w:r w:rsidRPr="00A23C40">
        <w:rPr>
          <w:rFonts w:ascii="Times New Roman" w:hAnsi="Times New Roman"/>
          <w:i/>
          <w:sz w:val="22"/>
          <w:szCs w:val="22"/>
          <w:lang w:val="it-IT"/>
        </w:rPr>
        <w:t>Đơn vị tính: %</w:t>
      </w:r>
    </w:p>
    <w:tbl>
      <w:tblPr>
        <w:tblStyle w:val="TableGrid"/>
        <w:tblW w:w="0" w:type="auto"/>
        <w:tblInd w:w="198" w:type="dxa"/>
        <w:tblLook w:val="01E0"/>
      </w:tblPr>
      <w:tblGrid>
        <w:gridCol w:w="2814"/>
        <w:gridCol w:w="3012"/>
        <w:gridCol w:w="3012"/>
      </w:tblGrid>
      <w:tr w:rsidR="00E16C50" w:rsidRPr="00916FE2" w:rsidTr="003D371A">
        <w:tc>
          <w:tcPr>
            <w:tcW w:w="2814" w:type="dxa"/>
          </w:tcPr>
          <w:p w:rsidR="00E16C50" w:rsidRPr="006D2FB9" w:rsidRDefault="00E16C50" w:rsidP="00C00460">
            <w:pPr>
              <w:pStyle w:val="abc"/>
              <w:spacing w:line="240" w:lineRule="exact"/>
              <w:ind w:firstLine="346"/>
              <w:jc w:val="center"/>
              <w:rPr>
                <w:rFonts w:ascii="Times New Roman" w:hAnsi="Times New Roman"/>
                <w:b/>
                <w:sz w:val="22"/>
                <w:szCs w:val="22"/>
                <w:lang w:val="it-IT"/>
              </w:rPr>
            </w:pPr>
            <w:r>
              <w:rPr>
                <w:rFonts w:ascii="Times New Roman" w:hAnsi="Times New Roman"/>
                <w:b/>
                <w:sz w:val="22"/>
                <w:szCs w:val="22"/>
                <w:lang w:val="it-IT"/>
              </w:rPr>
              <w:t>Khu vực so sánh</w:t>
            </w:r>
          </w:p>
        </w:tc>
        <w:tc>
          <w:tcPr>
            <w:tcW w:w="3012" w:type="dxa"/>
          </w:tcPr>
          <w:p w:rsidR="00E16C50" w:rsidRPr="006D2FB9" w:rsidRDefault="00C00460" w:rsidP="00C00460">
            <w:pPr>
              <w:pStyle w:val="abc"/>
              <w:tabs>
                <w:tab w:val="left" w:pos="735"/>
                <w:tab w:val="center" w:pos="1398"/>
              </w:tabs>
              <w:spacing w:line="240" w:lineRule="exact"/>
              <w:ind w:firstLine="346"/>
              <w:rPr>
                <w:rFonts w:ascii="Times New Roman" w:hAnsi="Times New Roman"/>
                <w:b/>
                <w:sz w:val="22"/>
                <w:szCs w:val="22"/>
                <w:lang w:val="it-IT"/>
              </w:rPr>
            </w:pPr>
            <w:r>
              <w:rPr>
                <w:rFonts w:ascii="Times New Roman" w:hAnsi="Times New Roman"/>
                <w:b/>
                <w:sz w:val="22"/>
                <w:szCs w:val="22"/>
                <w:lang w:val="it-IT"/>
              </w:rPr>
              <w:tab/>
            </w:r>
            <w:r>
              <w:rPr>
                <w:rFonts w:ascii="Times New Roman" w:hAnsi="Times New Roman"/>
                <w:b/>
                <w:sz w:val="22"/>
                <w:szCs w:val="22"/>
                <w:lang w:val="it-IT"/>
              </w:rPr>
              <w:tab/>
            </w:r>
            <w:r w:rsidR="00E16C50" w:rsidRPr="006D2FB9">
              <w:rPr>
                <w:rFonts w:ascii="Times New Roman" w:hAnsi="Times New Roman"/>
                <w:b/>
                <w:sz w:val="22"/>
                <w:szCs w:val="22"/>
                <w:lang w:val="it-IT"/>
              </w:rPr>
              <w:t>Năm 2011</w:t>
            </w:r>
          </w:p>
        </w:tc>
        <w:tc>
          <w:tcPr>
            <w:tcW w:w="3012" w:type="dxa"/>
          </w:tcPr>
          <w:p w:rsidR="00E16C50" w:rsidRPr="006D2FB9" w:rsidRDefault="00E16C50" w:rsidP="00C00460">
            <w:pPr>
              <w:pStyle w:val="abc"/>
              <w:spacing w:line="240" w:lineRule="exact"/>
              <w:ind w:firstLine="346"/>
              <w:jc w:val="center"/>
              <w:rPr>
                <w:rFonts w:ascii="Times New Roman" w:hAnsi="Times New Roman"/>
                <w:b/>
                <w:sz w:val="22"/>
                <w:szCs w:val="22"/>
                <w:lang w:val="it-IT"/>
              </w:rPr>
            </w:pPr>
            <w:r w:rsidRPr="006D2FB9">
              <w:rPr>
                <w:rFonts w:ascii="Times New Roman" w:hAnsi="Times New Roman"/>
                <w:b/>
                <w:sz w:val="22"/>
                <w:szCs w:val="22"/>
                <w:lang w:val="it-IT"/>
              </w:rPr>
              <w:t>Năm 2012</w:t>
            </w:r>
          </w:p>
        </w:tc>
      </w:tr>
      <w:tr w:rsidR="00E16C50" w:rsidRPr="00916FE2" w:rsidTr="003D371A">
        <w:tc>
          <w:tcPr>
            <w:tcW w:w="2814" w:type="dxa"/>
          </w:tcPr>
          <w:p w:rsidR="00E16C50" w:rsidRPr="00916FE2" w:rsidRDefault="00E16C50" w:rsidP="00C00460">
            <w:pPr>
              <w:pStyle w:val="abc"/>
              <w:spacing w:line="240" w:lineRule="exact"/>
              <w:ind w:firstLine="346"/>
              <w:rPr>
                <w:rFonts w:ascii="Times New Roman" w:hAnsi="Times New Roman"/>
                <w:sz w:val="22"/>
                <w:szCs w:val="22"/>
                <w:lang w:val="it-IT"/>
              </w:rPr>
            </w:pPr>
            <w:r w:rsidRPr="00916FE2">
              <w:rPr>
                <w:rFonts w:ascii="Times New Roman" w:hAnsi="Times New Roman"/>
                <w:sz w:val="22"/>
                <w:szCs w:val="22"/>
                <w:lang w:val="it-IT"/>
              </w:rPr>
              <w:t>Cả nước</w:t>
            </w:r>
          </w:p>
        </w:tc>
        <w:tc>
          <w:tcPr>
            <w:tcW w:w="3012" w:type="dxa"/>
          </w:tcPr>
          <w:p w:rsidR="00E16C50" w:rsidRPr="00916FE2" w:rsidRDefault="00E16C50" w:rsidP="00C00460">
            <w:pPr>
              <w:pStyle w:val="abc"/>
              <w:spacing w:line="240" w:lineRule="exact"/>
              <w:ind w:firstLine="346"/>
              <w:jc w:val="center"/>
              <w:rPr>
                <w:rFonts w:ascii="Times New Roman" w:hAnsi="Times New Roman"/>
                <w:sz w:val="22"/>
                <w:szCs w:val="22"/>
                <w:lang w:val="it-IT"/>
              </w:rPr>
            </w:pPr>
            <w:r w:rsidRPr="00916FE2">
              <w:rPr>
                <w:rFonts w:ascii="Times New Roman" w:hAnsi="Times New Roman"/>
                <w:sz w:val="22"/>
                <w:szCs w:val="22"/>
                <w:lang w:val="it-IT"/>
              </w:rPr>
              <w:t>6,24</w:t>
            </w:r>
          </w:p>
        </w:tc>
        <w:tc>
          <w:tcPr>
            <w:tcW w:w="3012" w:type="dxa"/>
          </w:tcPr>
          <w:p w:rsidR="00E16C50" w:rsidRPr="00916FE2" w:rsidRDefault="00E16C50" w:rsidP="00C00460">
            <w:pPr>
              <w:pStyle w:val="abc"/>
              <w:spacing w:line="240" w:lineRule="exact"/>
              <w:ind w:firstLine="346"/>
              <w:jc w:val="center"/>
              <w:rPr>
                <w:rFonts w:ascii="Times New Roman" w:hAnsi="Times New Roman"/>
                <w:sz w:val="22"/>
                <w:szCs w:val="22"/>
                <w:lang w:val="it-IT"/>
              </w:rPr>
            </w:pPr>
            <w:r w:rsidRPr="00916FE2">
              <w:rPr>
                <w:rFonts w:ascii="Times New Roman" w:hAnsi="Times New Roman"/>
                <w:sz w:val="22"/>
                <w:szCs w:val="22"/>
                <w:lang w:val="it-IT"/>
              </w:rPr>
              <w:t>5,25</w:t>
            </w:r>
          </w:p>
        </w:tc>
      </w:tr>
      <w:tr w:rsidR="00E16C50" w:rsidRPr="00916FE2" w:rsidTr="003D371A">
        <w:tc>
          <w:tcPr>
            <w:tcW w:w="2814" w:type="dxa"/>
          </w:tcPr>
          <w:p w:rsidR="00E16C50" w:rsidRPr="00916FE2" w:rsidRDefault="00E16C50" w:rsidP="00C00460">
            <w:pPr>
              <w:pStyle w:val="abc"/>
              <w:spacing w:line="240" w:lineRule="exact"/>
              <w:ind w:firstLine="346"/>
              <w:rPr>
                <w:rFonts w:ascii="Times New Roman" w:hAnsi="Times New Roman"/>
                <w:sz w:val="22"/>
                <w:szCs w:val="22"/>
                <w:lang w:val="it-IT"/>
              </w:rPr>
            </w:pPr>
            <w:r w:rsidRPr="00916FE2">
              <w:rPr>
                <w:rFonts w:ascii="Times New Roman" w:hAnsi="Times New Roman"/>
                <w:sz w:val="22"/>
                <w:szCs w:val="22"/>
                <w:lang w:val="it-IT"/>
              </w:rPr>
              <w:t>Thái Nguyên</w:t>
            </w:r>
          </w:p>
        </w:tc>
        <w:tc>
          <w:tcPr>
            <w:tcW w:w="3012" w:type="dxa"/>
          </w:tcPr>
          <w:p w:rsidR="00E16C50" w:rsidRPr="00916FE2" w:rsidRDefault="00E16C50" w:rsidP="00C00460">
            <w:pPr>
              <w:pStyle w:val="abc"/>
              <w:spacing w:line="240" w:lineRule="exact"/>
              <w:ind w:firstLine="346"/>
              <w:jc w:val="center"/>
              <w:rPr>
                <w:rFonts w:ascii="Times New Roman" w:hAnsi="Times New Roman"/>
                <w:sz w:val="22"/>
                <w:szCs w:val="22"/>
                <w:lang w:val="it-IT"/>
              </w:rPr>
            </w:pPr>
            <w:r w:rsidRPr="00916FE2">
              <w:rPr>
                <w:rFonts w:ascii="Times New Roman" w:hAnsi="Times New Roman"/>
                <w:sz w:val="22"/>
                <w:szCs w:val="22"/>
                <w:lang w:val="it-IT"/>
              </w:rPr>
              <w:t>8,81</w:t>
            </w:r>
          </w:p>
        </w:tc>
        <w:tc>
          <w:tcPr>
            <w:tcW w:w="3012" w:type="dxa"/>
          </w:tcPr>
          <w:p w:rsidR="00E16C50" w:rsidRPr="00916FE2" w:rsidRDefault="00E16C50" w:rsidP="00C00460">
            <w:pPr>
              <w:pStyle w:val="abc"/>
              <w:spacing w:line="240" w:lineRule="exact"/>
              <w:ind w:firstLine="346"/>
              <w:jc w:val="center"/>
              <w:rPr>
                <w:rFonts w:ascii="Times New Roman" w:hAnsi="Times New Roman"/>
                <w:sz w:val="22"/>
                <w:szCs w:val="22"/>
                <w:lang w:val="it-IT"/>
              </w:rPr>
            </w:pPr>
            <w:r w:rsidRPr="00916FE2">
              <w:rPr>
                <w:rFonts w:ascii="Times New Roman" w:hAnsi="Times New Roman"/>
                <w:sz w:val="22"/>
                <w:szCs w:val="22"/>
                <w:lang w:val="it-IT"/>
              </w:rPr>
              <w:t>7</w:t>
            </w:r>
          </w:p>
        </w:tc>
      </w:tr>
      <w:tr w:rsidR="00E16C50" w:rsidRPr="00916FE2" w:rsidTr="003D371A">
        <w:tc>
          <w:tcPr>
            <w:tcW w:w="2814" w:type="dxa"/>
          </w:tcPr>
          <w:p w:rsidR="00E16C50" w:rsidRPr="00916FE2" w:rsidRDefault="00E16C50" w:rsidP="00C00460">
            <w:pPr>
              <w:pStyle w:val="abc"/>
              <w:spacing w:line="240" w:lineRule="exact"/>
              <w:ind w:firstLine="346"/>
              <w:rPr>
                <w:rFonts w:ascii="Times New Roman" w:hAnsi="Times New Roman"/>
                <w:sz w:val="22"/>
                <w:szCs w:val="22"/>
                <w:lang w:val="it-IT"/>
              </w:rPr>
            </w:pPr>
            <w:r w:rsidRPr="00916FE2">
              <w:rPr>
                <w:rFonts w:ascii="Times New Roman" w:hAnsi="Times New Roman"/>
                <w:sz w:val="22"/>
                <w:szCs w:val="22"/>
                <w:lang w:val="it-IT"/>
              </w:rPr>
              <w:t>Tuyên Quang</w:t>
            </w:r>
          </w:p>
        </w:tc>
        <w:tc>
          <w:tcPr>
            <w:tcW w:w="3012" w:type="dxa"/>
          </w:tcPr>
          <w:p w:rsidR="00E16C50" w:rsidRPr="00916FE2" w:rsidRDefault="00E16C50" w:rsidP="00C00460">
            <w:pPr>
              <w:pStyle w:val="abc"/>
              <w:spacing w:line="240" w:lineRule="exact"/>
              <w:ind w:firstLine="346"/>
              <w:jc w:val="center"/>
              <w:rPr>
                <w:rFonts w:ascii="Times New Roman" w:hAnsi="Times New Roman"/>
                <w:sz w:val="22"/>
                <w:szCs w:val="22"/>
                <w:lang w:val="it-IT"/>
              </w:rPr>
            </w:pPr>
            <w:r w:rsidRPr="00916FE2">
              <w:rPr>
                <w:rFonts w:ascii="Times New Roman" w:hAnsi="Times New Roman"/>
                <w:sz w:val="22"/>
                <w:szCs w:val="22"/>
                <w:lang w:val="it-IT"/>
              </w:rPr>
              <w:t>14,01</w:t>
            </w:r>
          </w:p>
        </w:tc>
        <w:tc>
          <w:tcPr>
            <w:tcW w:w="3012" w:type="dxa"/>
          </w:tcPr>
          <w:p w:rsidR="00E16C50" w:rsidRPr="00916FE2" w:rsidRDefault="00E16C50" w:rsidP="00C00460">
            <w:pPr>
              <w:pStyle w:val="abc"/>
              <w:spacing w:line="240" w:lineRule="exact"/>
              <w:ind w:firstLine="346"/>
              <w:jc w:val="center"/>
              <w:rPr>
                <w:rFonts w:ascii="Times New Roman" w:hAnsi="Times New Roman"/>
                <w:sz w:val="22"/>
                <w:szCs w:val="22"/>
                <w:lang w:val="it-IT"/>
              </w:rPr>
            </w:pPr>
            <w:r w:rsidRPr="00916FE2">
              <w:rPr>
                <w:rFonts w:ascii="Times New Roman" w:hAnsi="Times New Roman"/>
                <w:sz w:val="22"/>
                <w:szCs w:val="22"/>
                <w:lang w:val="it-IT"/>
              </w:rPr>
              <w:t>20,7</w:t>
            </w:r>
          </w:p>
        </w:tc>
      </w:tr>
      <w:tr w:rsidR="00E16C50" w:rsidRPr="00916FE2" w:rsidTr="003D371A">
        <w:tc>
          <w:tcPr>
            <w:tcW w:w="2814" w:type="dxa"/>
          </w:tcPr>
          <w:p w:rsidR="00E16C50" w:rsidRPr="00916FE2" w:rsidRDefault="00E16C50" w:rsidP="00C00460">
            <w:pPr>
              <w:pStyle w:val="abc"/>
              <w:spacing w:line="240" w:lineRule="exact"/>
              <w:ind w:firstLine="346"/>
              <w:rPr>
                <w:rFonts w:ascii="Times New Roman" w:hAnsi="Times New Roman"/>
                <w:sz w:val="22"/>
                <w:szCs w:val="22"/>
                <w:lang w:val="it-IT"/>
              </w:rPr>
            </w:pPr>
            <w:r w:rsidRPr="00916FE2">
              <w:rPr>
                <w:rFonts w:ascii="Times New Roman" w:hAnsi="Times New Roman"/>
                <w:sz w:val="22"/>
                <w:szCs w:val="22"/>
                <w:lang w:val="it-IT"/>
              </w:rPr>
              <w:t>Yên Bái</w:t>
            </w:r>
          </w:p>
        </w:tc>
        <w:tc>
          <w:tcPr>
            <w:tcW w:w="3012" w:type="dxa"/>
          </w:tcPr>
          <w:p w:rsidR="00E16C50" w:rsidRPr="00916FE2" w:rsidRDefault="00E16C50" w:rsidP="00C00460">
            <w:pPr>
              <w:pStyle w:val="abc"/>
              <w:spacing w:line="240" w:lineRule="exact"/>
              <w:ind w:firstLine="346"/>
              <w:jc w:val="center"/>
              <w:rPr>
                <w:rFonts w:ascii="Times New Roman" w:hAnsi="Times New Roman"/>
                <w:sz w:val="22"/>
                <w:szCs w:val="22"/>
                <w:lang w:val="it-IT"/>
              </w:rPr>
            </w:pPr>
            <w:r w:rsidRPr="00916FE2">
              <w:rPr>
                <w:rFonts w:ascii="Times New Roman" w:hAnsi="Times New Roman"/>
                <w:sz w:val="22"/>
                <w:szCs w:val="22"/>
                <w:lang w:val="it-IT"/>
              </w:rPr>
              <w:t>13,5</w:t>
            </w:r>
          </w:p>
        </w:tc>
        <w:tc>
          <w:tcPr>
            <w:tcW w:w="3012" w:type="dxa"/>
          </w:tcPr>
          <w:p w:rsidR="00E16C50" w:rsidRPr="00916FE2" w:rsidRDefault="00E16C50" w:rsidP="00C00460">
            <w:pPr>
              <w:pStyle w:val="abc"/>
              <w:spacing w:line="240" w:lineRule="exact"/>
              <w:ind w:firstLine="346"/>
              <w:jc w:val="center"/>
              <w:rPr>
                <w:rFonts w:ascii="Times New Roman" w:hAnsi="Times New Roman"/>
                <w:sz w:val="22"/>
                <w:szCs w:val="22"/>
                <w:lang w:val="it-IT"/>
              </w:rPr>
            </w:pPr>
            <w:r w:rsidRPr="00916FE2">
              <w:rPr>
                <w:rFonts w:ascii="Times New Roman" w:hAnsi="Times New Roman"/>
                <w:sz w:val="22"/>
                <w:szCs w:val="22"/>
                <w:lang w:val="it-IT"/>
              </w:rPr>
              <w:t>14,57</w:t>
            </w:r>
          </w:p>
        </w:tc>
      </w:tr>
      <w:tr w:rsidR="00E16C50" w:rsidRPr="00916FE2" w:rsidTr="003D371A">
        <w:tc>
          <w:tcPr>
            <w:tcW w:w="2814" w:type="dxa"/>
          </w:tcPr>
          <w:p w:rsidR="00E16C50" w:rsidRPr="00916FE2" w:rsidRDefault="00E16C50" w:rsidP="00C00460">
            <w:pPr>
              <w:pStyle w:val="abc"/>
              <w:spacing w:line="240" w:lineRule="exact"/>
              <w:ind w:firstLine="346"/>
              <w:rPr>
                <w:rFonts w:ascii="Times New Roman" w:hAnsi="Times New Roman"/>
                <w:sz w:val="22"/>
                <w:szCs w:val="22"/>
                <w:lang w:val="it-IT"/>
              </w:rPr>
            </w:pPr>
            <w:r w:rsidRPr="00916FE2">
              <w:rPr>
                <w:rFonts w:ascii="Times New Roman" w:hAnsi="Times New Roman"/>
                <w:sz w:val="22"/>
                <w:szCs w:val="22"/>
                <w:lang w:val="it-IT"/>
              </w:rPr>
              <w:t>Băc Kạn</w:t>
            </w:r>
          </w:p>
        </w:tc>
        <w:tc>
          <w:tcPr>
            <w:tcW w:w="3012" w:type="dxa"/>
          </w:tcPr>
          <w:p w:rsidR="00E16C50" w:rsidRPr="00916FE2" w:rsidRDefault="00E16C50" w:rsidP="00C00460">
            <w:pPr>
              <w:pStyle w:val="abc"/>
              <w:spacing w:line="240" w:lineRule="exact"/>
              <w:ind w:firstLine="346"/>
              <w:jc w:val="center"/>
              <w:rPr>
                <w:rFonts w:ascii="Times New Roman" w:hAnsi="Times New Roman"/>
                <w:sz w:val="22"/>
                <w:szCs w:val="22"/>
                <w:lang w:val="it-IT"/>
              </w:rPr>
            </w:pPr>
            <w:r w:rsidRPr="00916FE2">
              <w:rPr>
                <w:rFonts w:ascii="Times New Roman" w:hAnsi="Times New Roman"/>
                <w:sz w:val="22"/>
                <w:szCs w:val="22"/>
                <w:lang w:val="it-IT"/>
              </w:rPr>
              <w:t>12,98</w:t>
            </w:r>
          </w:p>
        </w:tc>
        <w:tc>
          <w:tcPr>
            <w:tcW w:w="3012" w:type="dxa"/>
          </w:tcPr>
          <w:p w:rsidR="00E16C50" w:rsidRPr="00916FE2" w:rsidRDefault="00E16C50" w:rsidP="00C00460">
            <w:pPr>
              <w:pStyle w:val="abc"/>
              <w:spacing w:line="240" w:lineRule="exact"/>
              <w:ind w:firstLine="346"/>
              <w:jc w:val="center"/>
              <w:rPr>
                <w:rFonts w:ascii="Times New Roman" w:hAnsi="Times New Roman"/>
                <w:sz w:val="22"/>
                <w:szCs w:val="22"/>
                <w:lang w:val="it-IT"/>
              </w:rPr>
            </w:pPr>
            <w:r w:rsidRPr="00916FE2">
              <w:rPr>
                <w:rFonts w:ascii="Times New Roman" w:hAnsi="Times New Roman"/>
                <w:sz w:val="22"/>
                <w:szCs w:val="22"/>
                <w:lang w:val="it-IT"/>
              </w:rPr>
              <w:t>12,35</w:t>
            </w:r>
          </w:p>
        </w:tc>
      </w:tr>
      <w:tr w:rsidR="00E16C50" w:rsidRPr="00916FE2" w:rsidTr="003D371A">
        <w:tc>
          <w:tcPr>
            <w:tcW w:w="2814" w:type="dxa"/>
          </w:tcPr>
          <w:p w:rsidR="00E16C50" w:rsidRPr="00916FE2" w:rsidRDefault="00E16C50" w:rsidP="00C00460">
            <w:pPr>
              <w:pStyle w:val="abc"/>
              <w:spacing w:line="240" w:lineRule="exact"/>
              <w:ind w:firstLine="346"/>
              <w:rPr>
                <w:rFonts w:ascii="Times New Roman" w:hAnsi="Times New Roman"/>
                <w:sz w:val="22"/>
                <w:szCs w:val="22"/>
                <w:lang w:val="it-IT"/>
              </w:rPr>
            </w:pPr>
            <w:r w:rsidRPr="00916FE2">
              <w:rPr>
                <w:rFonts w:ascii="Times New Roman" w:hAnsi="Times New Roman"/>
                <w:sz w:val="22"/>
                <w:szCs w:val="22"/>
                <w:lang w:val="it-IT"/>
              </w:rPr>
              <w:t>Bắc Giang</w:t>
            </w:r>
          </w:p>
        </w:tc>
        <w:tc>
          <w:tcPr>
            <w:tcW w:w="3012" w:type="dxa"/>
          </w:tcPr>
          <w:p w:rsidR="00E16C50" w:rsidRPr="00916FE2" w:rsidRDefault="00E16C50" w:rsidP="00C00460">
            <w:pPr>
              <w:pStyle w:val="abc"/>
              <w:spacing w:line="240" w:lineRule="exact"/>
              <w:ind w:firstLine="346"/>
              <w:jc w:val="center"/>
              <w:rPr>
                <w:rFonts w:ascii="Times New Roman" w:hAnsi="Times New Roman"/>
                <w:sz w:val="22"/>
                <w:szCs w:val="22"/>
                <w:lang w:val="it-IT"/>
              </w:rPr>
            </w:pPr>
            <w:r w:rsidRPr="00916FE2">
              <w:rPr>
                <w:rFonts w:ascii="Times New Roman" w:hAnsi="Times New Roman"/>
                <w:sz w:val="22"/>
                <w:szCs w:val="22"/>
                <w:lang w:val="it-IT"/>
              </w:rPr>
              <w:t>10,5</w:t>
            </w:r>
          </w:p>
        </w:tc>
        <w:tc>
          <w:tcPr>
            <w:tcW w:w="3012" w:type="dxa"/>
          </w:tcPr>
          <w:p w:rsidR="00E16C50" w:rsidRPr="00916FE2" w:rsidRDefault="00E16C50" w:rsidP="00C00460">
            <w:pPr>
              <w:pStyle w:val="abc"/>
              <w:spacing w:line="240" w:lineRule="exact"/>
              <w:ind w:firstLine="346"/>
              <w:jc w:val="center"/>
              <w:rPr>
                <w:rFonts w:ascii="Times New Roman" w:hAnsi="Times New Roman"/>
                <w:sz w:val="22"/>
                <w:szCs w:val="22"/>
                <w:lang w:val="it-IT"/>
              </w:rPr>
            </w:pPr>
            <w:r w:rsidRPr="00916FE2">
              <w:rPr>
                <w:rFonts w:ascii="Times New Roman" w:hAnsi="Times New Roman"/>
                <w:sz w:val="22"/>
                <w:szCs w:val="22"/>
                <w:lang w:val="it-IT"/>
              </w:rPr>
              <w:t>14,3</w:t>
            </w:r>
          </w:p>
        </w:tc>
      </w:tr>
    </w:tbl>
    <w:p w:rsidR="00E16C50" w:rsidRPr="00916FE2" w:rsidRDefault="00E16C50" w:rsidP="00C00460">
      <w:pPr>
        <w:pStyle w:val="abc"/>
        <w:spacing w:line="240" w:lineRule="exact"/>
        <w:ind w:firstLine="346"/>
        <w:jc w:val="center"/>
        <w:rPr>
          <w:rFonts w:ascii="Times New Roman" w:hAnsi="Times New Roman"/>
          <w:i/>
          <w:sz w:val="22"/>
          <w:szCs w:val="22"/>
          <w:lang w:val="it-IT"/>
        </w:rPr>
      </w:pPr>
      <w:r>
        <w:rPr>
          <w:rFonts w:ascii="Times New Roman" w:hAnsi="Times New Roman"/>
          <w:i/>
          <w:sz w:val="22"/>
          <w:szCs w:val="22"/>
          <w:lang w:val="it-IT"/>
        </w:rPr>
        <w:t>Nguồn: [ 5</w:t>
      </w:r>
      <w:r w:rsidRPr="00916FE2">
        <w:rPr>
          <w:rFonts w:ascii="Times New Roman" w:hAnsi="Times New Roman"/>
          <w:i/>
          <w:sz w:val="22"/>
          <w:szCs w:val="22"/>
          <w:lang w:val="it-IT"/>
        </w:rPr>
        <w:t>, tr.271]</w:t>
      </w:r>
    </w:p>
    <w:p w:rsidR="00E16C50" w:rsidRDefault="00E16C50" w:rsidP="00E16C50">
      <w:pPr>
        <w:pStyle w:val="abc"/>
        <w:spacing w:line="360" w:lineRule="auto"/>
        <w:jc w:val="both"/>
        <w:rPr>
          <w:rFonts w:ascii="Times New Roman" w:hAnsi="Times New Roman"/>
          <w:sz w:val="22"/>
          <w:szCs w:val="22"/>
          <w:lang w:val="it-IT"/>
        </w:rPr>
        <w:sectPr w:rsidR="00E16C50" w:rsidSect="00601C0A">
          <w:type w:val="continuous"/>
          <w:pgSz w:w="12240" w:h="15840"/>
          <w:pgMar w:top="1440" w:right="1440" w:bottom="1440" w:left="1440" w:header="720" w:footer="720" w:gutter="0"/>
          <w:cols w:space="720"/>
          <w:docGrid w:linePitch="360"/>
        </w:sectPr>
      </w:pPr>
    </w:p>
    <w:p w:rsidR="00E16C50" w:rsidRPr="00642EFA" w:rsidRDefault="00E16C50" w:rsidP="00642EFA">
      <w:pPr>
        <w:tabs>
          <w:tab w:val="left" w:pos="7815"/>
        </w:tabs>
        <w:spacing w:line="280" w:lineRule="exact"/>
        <w:ind w:firstLine="340"/>
        <w:jc w:val="both"/>
        <w:rPr>
          <w:rFonts w:eastAsia="Calibri"/>
          <w:spacing w:val="2"/>
          <w:sz w:val="22"/>
        </w:rPr>
      </w:pPr>
      <w:r w:rsidRPr="00642EFA">
        <w:rPr>
          <w:rFonts w:eastAsia="Calibri"/>
          <w:spacing w:val="2"/>
          <w:sz w:val="22"/>
        </w:rPr>
        <w:lastRenderedPageBreak/>
        <w:t xml:space="preserve">Tốc độ tăng trưởng kinh tế tỉnh Thái Nguyên giai đoạn 2011 – 2012 tuy cao hơn so với cả nước, tuy nhiên lại thấp hơn rất nhiều so với một số tỉnh lân cận: Bắc Giang, Yên Bái, Tuyên Quang.... </w:t>
      </w:r>
    </w:p>
    <w:p w:rsidR="00E16C50" w:rsidRPr="00642EFA" w:rsidRDefault="00E16C50" w:rsidP="00642EFA">
      <w:pPr>
        <w:tabs>
          <w:tab w:val="left" w:pos="7815"/>
        </w:tabs>
        <w:spacing w:line="280" w:lineRule="exact"/>
        <w:ind w:firstLine="340"/>
        <w:jc w:val="both"/>
        <w:rPr>
          <w:rFonts w:eastAsia="Calibri"/>
          <w:spacing w:val="2"/>
          <w:sz w:val="22"/>
        </w:rPr>
      </w:pPr>
      <w:r w:rsidRPr="00642EFA">
        <w:rPr>
          <w:rFonts w:eastAsia="Calibri"/>
          <w:spacing w:val="2"/>
          <w:sz w:val="22"/>
        </w:rPr>
        <w:lastRenderedPageBreak/>
        <w:t xml:space="preserve">Ngành công nghiệp, xây dựng có tốc độ tăng trưởng tương đối cao, cụ thể: năm 2006: tăng 14,89%, đến năm 2007 có mức tăng trưởng cao nhất đạt 19,12%  [5, tr.47]. Nguyên nhân chính là do có sự phát triển mạnh ngành </w:t>
      </w:r>
      <w:r w:rsidRPr="00642EFA">
        <w:rPr>
          <w:rFonts w:eastAsia="Calibri"/>
          <w:spacing w:val="2"/>
          <w:sz w:val="22"/>
        </w:rPr>
        <w:lastRenderedPageBreak/>
        <w:t xml:space="preserve">sản xuất thép và tăng xuất khẩu chè đã qua chế biến với giá cả tương đối khá. </w:t>
      </w:r>
    </w:p>
    <w:p w:rsidR="00E16C50" w:rsidRPr="00642EFA" w:rsidRDefault="00E16C50" w:rsidP="00642EFA">
      <w:pPr>
        <w:tabs>
          <w:tab w:val="left" w:pos="7815"/>
        </w:tabs>
        <w:spacing w:line="280" w:lineRule="exact"/>
        <w:ind w:firstLine="340"/>
        <w:jc w:val="both"/>
        <w:rPr>
          <w:rFonts w:eastAsia="Calibri"/>
          <w:spacing w:val="2"/>
          <w:sz w:val="22"/>
        </w:rPr>
      </w:pPr>
      <w:r w:rsidRPr="00642EFA">
        <w:rPr>
          <w:rFonts w:eastAsia="Calibri"/>
          <w:spacing w:val="2"/>
          <w:sz w:val="22"/>
        </w:rPr>
        <w:t xml:space="preserve">Tuy nhiên trong giai đoạn này công nghiệp vẫn phát triển theo chiều rộng, chủ yếu là gia công, công nghiệp chế biến chủ yếu là sản phẩm thô, giá trị gia tăng thấp. Khu vực này cũng là khu vực chịu tác động nặng nề nhất của khủng hoảng tài chính và suy thoái kinh tế toàn cầu, nên từ cuối năm 2007 đã có xu hướng tăng trưởng chậm lại, có khoảng thời gian giảm sâu (tốc độ tăng trưởng trong năm 2008 là 16,71% và năm 2009 là 12,11%), đến giữa năm 2009 sản xuất công nghiệp và xây dựng mới có sự phục hồi trở lại. Năm 2010, tốc độ tăng trưởng của khu vực công nghiệp và xây dựng đạt 13,11%.. Tuy vậy, giai đoạn 2010 – 2012 lại cho thấy tốc độ tăng trưởng trong nhóm ngành này lại có xu hướng giảm (năm 2012 chỉ tăng 7,19%) [5, tr.47], trong đó biểu hiện rõ nhất là sự sụt giảm trong nhóm ngành công nghiệp. </w:t>
      </w:r>
    </w:p>
    <w:p w:rsidR="00E16C50" w:rsidRPr="00E943AA" w:rsidRDefault="00E16C50" w:rsidP="00642EFA">
      <w:pPr>
        <w:tabs>
          <w:tab w:val="left" w:pos="7815"/>
        </w:tabs>
        <w:spacing w:line="280" w:lineRule="exact"/>
        <w:ind w:firstLine="340"/>
        <w:jc w:val="both"/>
        <w:rPr>
          <w:i/>
          <w:sz w:val="22"/>
          <w:szCs w:val="22"/>
          <w:lang w:val="it-IT"/>
        </w:rPr>
      </w:pPr>
      <w:r w:rsidRPr="00642EFA">
        <w:rPr>
          <w:rFonts w:eastAsia="Calibri"/>
          <w:spacing w:val="2"/>
          <w:sz w:val="22"/>
        </w:rPr>
        <w:t>Nguyên nhân chủ yếu của thực trạng trên là do ngành công nghiệp chủ lực của Thái Nguyên</w:t>
      </w:r>
      <w:r w:rsidRPr="00916FE2">
        <w:rPr>
          <w:sz w:val="22"/>
          <w:szCs w:val="22"/>
          <w:lang w:val="it-IT"/>
        </w:rPr>
        <w:t xml:space="preserve"> chủ yếu là những ngàn</w:t>
      </w:r>
      <w:r>
        <w:rPr>
          <w:sz w:val="22"/>
          <w:szCs w:val="22"/>
          <w:lang w:val="it-IT"/>
        </w:rPr>
        <w:t>h công nghiệp sắt thép, xi măng. N</w:t>
      </w:r>
      <w:r w:rsidRPr="00916FE2">
        <w:rPr>
          <w:sz w:val="22"/>
          <w:szCs w:val="22"/>
          <w:lang w:val="it-IT"/>
        </w:rPr>
        <w:t xml:space="preserve">hững ngành này hiện nay đang gặp nhiều khó khăn do công nghệ lạc hậu, chi phí đầu vào lớn do vậy giá thành cao, không đủ sức cạnh tranh trên thị trường. Mặt khác, do tác động của khủng hoảng kinh tế kéo theo nhu cầu xây dựng của tỉnh Thái Nguyên nói riêng và cả nước nói chung giảm mạnh. </w:t>
      </w:r>
      <w:r w:rsidRPr="00E943AA">
        <w:rPr>
          <w:i/>
          <w:sz w:val="22"/>
          <w:szCs w:val="22"/>
          <w:lang w:val="it-IT"/>
        </w:rPr>
        <w:t>Do vậy, có thể thấy nguy cơ thiếu bền vững trong phát triển của nhóm ngành này là tương đối lớn.</w:t>
      </w:r>
    </w:p>
    <w:p w:rsidR="00E16C50" w:rsidRPr="00642EFA" w:rsidRDefault="00E16C50" w:rsidP="00642EFA">
      <w:pPr>
        <w:tabs>
          <w:tab w:val="left" w:pos="7815"/>
        </w:tabs>
        <w:spacing w:line="280" w:lineRule="exact"/>
        <w:ind w:firstLine="340"/>
        <w:jc w:val="both"/>
        <w:rPr>
          <w:rFonts w:eastAsia="Calibri"/>
          <w:spacing w:val="2"/>
          <w:sz w:val="22"/>
        </w:rPr>
      </w:pPr>
      <w:r w:rsidRPr="00642EFA">
        <w:rPr>
          <w:rFonts w:eastAsia="Calibri"/>
          <w:spacing w:val="2"/>
          <w:sz w:val="22"/>
        </w:rPr>
        <w:t xml:space="preserve">Khu vực dịch vụ có tốc độ tăng trưởng tương đối ổn định, mặc dù chịu ảnh hưởng chung từ cuộc khủng hoảng tài chính thế giới và suy thoái kinh tế toàn cầu, nhưng từ năm 2009 nhờ việc thực hiện có hiệu quả các chính sách kích cầu đầu tư, tiêu dùng của Chính phủ nên hoạt động thương mại, dịch vụ nội địa đã đạt được nhiều kết quả tốt. Tốc độ tăng tổng mức bán lẻ hàng hoá và dịch vụ tiêu dùng xã hội bình quân 5 năm 2006-2010 đạt 21% [5, tr.60]. Tuy nhiên, cũng như nhóm ngành công nghiệp, xây dựng, giai đoạn 2010 – 2012 lại cho thấy tốc độ tăng trưởng của nhóm ngành này có xu hướng giảm mạnh: Năm 2007, tốc độ </w:t>
      </w:r>
      <w:r w:rsidRPr="00642EFA">
        <w:rPr>
          <w:rFonts w:eastAsia="Calibri"/>
          <w:spacing w:val="2"/>
          <w:sz w:val="22"/>
        </w:rPr>
        <w:lastRenderedPageBreak/>
        <w:t xml:space="preserve">tăng trưởng ngành dịch vụ cao nhất đạt 12,27%. Nhưng, đến năm 2011 giảm xuống còn 7,97% và năm 2012 chỉ đạt 7,5% [5, tr.62]. </w:t>
      </w:r>
      <w:r w:rsidRPr="00642EFA">
        <w:rPr>
          <w:rFonts w:eastAsia="Calibri"/>
          <w:i/>
          <w:spacing w:val="2"/>
          <w:sz w:val="22"/>
        </w:rPr>
        <w:t>Điều này một mặt cho thấy sự phát triển nhóm ngành này chưa đúng với mục tiêu trong chiến lược phát triển kinh tế - xã hội của tỉnh đề ra, mặt khác cho thấy nguy cơ thiếu bền vững trong phát triển ngành này.</w:t>
      </w:r>
    </w:p>
    <w:p w:rsidR="00E16C50" w:rsidRDefault="00E16C50" w:rsidP="00642EFA">
      <w:pPr>
        <w:tabs>
          <w:tab w:val="left" w:pos="7815"/>
        </w:tabs>
        <w:spacing w:line="280" w:lineRule="exact"/>
        <w:ind w:firstLine="340"/>
        <w:jc w:val="both"/>
        <w:rPr>
          <w:sz w:val="22"/>
          <w:szCs w:val="22"/>
          <w:lang w:val="it-IT"/>
        </w:rPr>
      </w:pPr>
      <w:r w:rsidRPr="00916FE2">
        <w:rPr>
          <w:sz w:val="22"/>
          <w:szCs w:val="22"/>
          <w:lang w:val="it-IT"/>
        </w:rPr>
        <w:t xml:space="preserve">Ngành nông, lâm nghiệp, thủy sản có mức tăng trưởng thấp nhất, bình quân giai đoạn </w:t>
      </w:r>
      <w:r>
        <w:rPr>
          <w:sz w:val="22"/>
          <w:szCs w:val="22"/>
          <w:lang w:val="it-IT"/>
        </w:rPr>
        <w:t>2006 – 2012 đạt 4,14%. Tại đây</w:t>
      </w:r>
      <w:r w:rsidRPr="00916FE2">
        <w:rPr>
          <w:sz w:val="22"/>
          <w:szCs w:val="22"/>
          <w:lang w:val="it-IT"/>
        </w:rPr>
        <w:t>, có một nghịch lý là trong khi ngành công nghiệp, xây dựng và dịch vụ có tốc độ tăng trưởng kinh tế giảm giai đoạn 2008 – 2012 thì ngành nông, lâm nghiệp, thủy sản lại có xu hướng tăng và tương đối ổn định (năm 2009 chỉ đạt 3,09%, đến năm 2012 đạt 5,82%)</w:t>
      </w:r>
      <w:r>
        <w:rPr>
          <w:sz w:val="22"/>
          <w:szCs w:val="22"/>
          <w:lang w:val="it-IT"/>
        </w:rPr>
        <w:t xml:space="preserve"> </w:t>
      </w:r>
      <w:r w:rsidRPr="00C1621A">
        <w:rPr>
          <w:sz w:val="22"/>
          <w:szCs w:val="22"/>
          <w:lang w:val="it-IT"/>
        </w:rPr>
        <w:t>[6, tr.42].</w:t>
      </w:r>
      <w:r w:rsidRPr="00916FE2">
        <w:rPr>
          <w:sz w:val="22"/>
          <w:szCs w:val="22"/>
          <w:lang w:val="it-IT"/>
        </w:rPr>
        <w:t xml:space="preserve"> Điều này một mặt cho thấy tiềm năng phát triển </w:t>
      </w:r>
      <w:r>
        <w:rPr>
          <w:sz w:val="22"/>
          <w:szCs w:val="22"/>
          <w:lang w:val="it-IT"/>
        </w:rPr>
        <w:t>của các ngành nông, lâm, thủy sản</w:t>
      </w:r>
      <w:r w:rsidRPr="00916FE2">
        <w:rPr>
          <w:sz w:val="22"/>
          <w:szCs w:val="22"/>
          <w:lang w:val="it-IT"/>
        </w:rPr>
        <w:t xml:space="preserve">, mặt khác cho thấy sự không phù hợp giữa thực tế phát triển với chiến lược phát triển ngành nghề trong </w:t>
      </w:r>
      <w:r w:rsidRPr="00916FE2">
        <w:rPr>
          <w:b/>
          <w:i/>
          <w:sz w:val="22"/>
          <w:szCs w:val="22"/>
          <w:lang w:val="it-IT"/>
        </w:rPr>
        <w:t>Quy hoạch tổng thể phát triển kinh tế - xã hội tỉnh Thái Nguyên đến năm 2020 và tầm nhìn đến năm 2030</w:t>
      </w:r>
      <w:r w:rsidRPr="00916FE2">
        <w:rPr>
          <w:sz w:val="22"/>
          <w:szCs w:val="22"/>
          <w:lang w:val="it-IT"/>
        </w:rPr>
        <w:t xml:space="preserve">. Thực tế này đòi hỏi cần nghiên cứu để đề ra chiến lược phát triển ngành nghề nhằm khai thác lợi thế của từng ngành trên địa bàn tỉnh. </w:t>
      </w:r>
    </w:p>
    <w:p w:rsidR="00E16C50" w:rsidRPr="00C00460" w:rsidRDefault="00E16C50" w:rsidP="00E16C50">
      <w:pPr>
        <w:pStyle w:val="abc"/>
        <w:spacing w:line="360" w:lineRule="auto"/>
        <w:jc w:val="both"/>
        <w:rPr>
          <w:rFonts w:ascii="Times New Roman" w:hAnsi="Times New Roman"/>
          <w:b/>
          <w:snapToGrid/>
          <w:sz w:val="22"/>
          <w:szCs w:val="22"/>
          <w:lang w:val="it-IT"/>
        </w:rPr>
      </w:pPr>
      <w:r w:rsidRPr="00C00460">
        <w:rPr>
          <w:rFonts w:ascii="Times New Roman" w:hAnsi="Times New Roman"/>
          <w:b/>
          <w:snapToGrid/>
          <w:sz w:val="22"/>
          <w:szCs w:val="22"/>
          <w:lang w:val="it-IT"/>
        </w:rPr>
        <w:t>CHUYỂN DỊCH CƠ CẤU KINH TẾ NGÀNH VÀ SỰ BỀN VỮNG VỀ MẶT XÃ HỘI</w:t>
      </w:r>
    </w:p>
    <w:p w:rsidR="00E16C50" w:rsidRPr="00C00460" w:rsidRDefault="00E16C50" w:rsidP="00E16C50">
      <w:pPr>
        <w:spacing w:before="40" w:after="40" w:line="360" w:lineRule="auto"/>
        <w:jc w:val="both"/>
        <w:rPr>
          <w:b/>
          <w:i/>
          <w:sz w:val="22"/>
          <w:szCs w:val="22"/>
          <w:lang w:val="it-IT"/>
        </w:rPr>
      </w:pPr>
      <w:r w:rsidRPr="00C00460">
        <w:rPr>
          <w:b/>
          <w:i/>
          <w:sz w:val="22"/>
          <w:szCs w:val="22"/>
          <w:lang w:val="it-IT"/>
        </w:rPr>
        <w:t>Về tình trạng thất nghiệp</w:t>
      </w:r>
    </w:p>
    <w:p w:rsidR="00E16C50" w:rsidRDefault="00E16C50" w:rsidP="00642EFA">
      <w:pPr>
        <w:tabs>
          <w:tab w:val="left" w:pos="7815"/>
        </w:tabs>
        <w:spacing w:line="280" w:lineRule="exact"/>
        <w:ind w:firstLine="340"/>
        <w:jc w:val="both"/>
        <w:rPr>
          <w:rFonts w:eastAsia="Calibri"/>
          <w:spacing w:val="2"/>
          <w:sz w:val="22"/>
        </w:rPr>
      </w:pPr>
      <w:r w:rsidRPr="00C678DA">
        <w:rPr>
          <w:sz w:val="22"/>
          <w:szCs w:val="22"/>
          <w:lang w:val="it-IT"/>
        </w:rPr>
        <w:t>Tỷ lệ thất nghiệp trên địa bàn tỉnh có xu hướng giảm, tuy nhiên, tỷ lệ này lại khá cao ở khu vực thành thị (thường</w:t>
      </w:r>
      <w:r w:rsidRPr="00C00460">
        <w:rPr>
          <w:sz w:val="22"/>
          <w:szCs w:val="22"/>
          <w:lang w:val="it-IT"/>
        </w:rPr>
        <w:t xml:space="preserve"> cao hơn gấp từ 2 đến 3 lần so với khu vực nông thôn). Thực</w:t>
      </w:r>
      <w:r w:rsidRPr="00642EFA">
        <w:rPr>
          <w:rFonts w:eastAsia="Calibri"/>
          <w:spacing w:val="2"/>
          <w:sz w:val="22"/>
        </w:rPr>
        <w:t xml:space="preserve"> trạng di chuyển lao động từ các khu vực nông thôn, miền núi (những khu vực có đời sống thấp thể hiện ở mức thu nhập bình quân đầu người thấp...) ra khu vực thành thị với mong muốn tìm kiếm việc làm ngày càng gia tăng. Điều này cho thấy chính sách tạo việc làm cho lao động nông thôn trên địa bàn tỉnh Thái Nguyên thời gian qua còn nhiều bất cập và chưa hiệu quả, chưa tạo tâm lý tốt cho người lao động yên tâm lao động tại địa phương</w:t>
      </w:r>
    </w:p>
    <w:p w:rsidR="00642EFA" w:rsidRPr="00642EFA" w:rsidRDefault="00642EFA" w:rsidP="00642EFA">
      <w:pPr>
        <w:tabs>
          <w:tab w:val="left" w:pos="7815"/>
        </w:tabs>
        <w:spacing w:line="280" w:lineRule="exact"/>
        <w:ind w:firstLine="340"/>
        <w:jc w:val="both"/>
        <w:rPr>
          <w:rFonts w:eastAsia="Calibri"/>
          <w:spacing w:val="2"/>
          <w:sz w:val="22"/>
        </w:rPr>
        <w:sectPr w:rsidR="00642EFA" w:rsidRPr="00642EFA" w:rsidSect="00AC6FD7">
          <w:type w:val="continuous"/>
          <w:pgSz w:w="12240" w:h="15840"/>
          <w:pgMar w:top="1440" w:right="1440" w:bottom="1440" w:left="1440" w:header="720" w:footer="720" w:gutter="0"/>
          <w:cols w:num="2" w:space="720"/>
          <w:docGrid w:linePitch="360"/>
        </w:sectPr>
      </w:pPr>
    </w:p>
    <w:p w:rsidR="00E16C50" w:rsidRDefault="00E16C50" w:rsidP="00E16C50">
      <w:pPr>
        <w:spacing w:line="360" w:lineRule="auto"/>
        <w:jc w:val="both"/>
        <w:rPr>
          <w:b/>
          <w:i/>
          <w:color w:val="000000"/>
          <w:sz w:val="22"/>
          <w:szCs w:val="22"/>
          <w:lang w:val="it-IT"/>
        </w:rPr>
        <w:sectPr w:rsidR="00E16C50" w:rsidSect="00601C0A">
          <w:type w:val="continuous"/>
          <w:pgSz w:w="12240" w:h="15840"/>
          <w:pgMar w:top="1440" w:right="1440" w:bottom="1440" w:left="1440" w:header="720" w:footer="720" w:gutter="0"/>
          <w:cols w:space="720"/>
          <w:docGrid w:linePitch="360"/>
        </w:sectPr>
      </w:pPr>
    </w:p>
    <w:p w:rsidR="00E16C50" w:rsidRPr="00A23C40" w:rsidRDefault="00E16C50" w:rsidP="00642EFA">
      <w:pPr>
        <w:spacing w:line="360" w:lineRule="auto"/>
        <w:jc w:val="center"/>
        <w:rPr>
          <w:b/>
          <w:color w:val="000000"/>
          <w:sz w:val="22"/>
          <w:szCs w:val="22"/>
          <w:lang w:val="it-IT"/>
        </w:rPr>
      </w:pPr>
      <w:r w:rsidRPr="00A23C40">
        <w:rPr>
          <w:b/>
          <w:color w:val="000000"/>
          <w:sz w:val="22"/>
          <w:szCs w:val="22"/>
          <w:lang w:val="it-IT"/>
        </w:rPr>
        <w:lastRenderedPageBreak/>
        <w:t>Bảng 2: Tỷ lệ thất nghiệp trong độ tuổi lao động phân theo thành thị, nông thôn</w:t>
      </w:r>
    </w:p>
    <w:p w:rsidR="00E16C50" w:rsidRPr="00A23C40" w:rsidRDefault="00E16C50" w:rsidP="00E16C50">
      <w:pPr>
        <w:spacing w:line="360" w:lineRule="auto"/>
        <w:jc w:val="center"/>
        <w:rPr>
          <w:i/>
          <w:color w:val="000000"/>
          <w:sz w:val="22"/>
          <w:szCs w:val="22"/>
          <w:lang w:val="it-IT"/>
        </w:rPr>
      </w:pPr>
      <w:r>
        <w:rPr>
          <w:color w:val="000000"/>
          <w:sz w:val="22"/>
          <w:szCs w:val="22"/>
          <w:lang w:val="it-IT"/>
        </w:rPr>
        <w:t xml:space="preserve">                                                                                                               </w:t>
      </w:r>
      <w:r w:rsidRPr="00A23C40">
        <w:rPr>
          <w:i/>
          <w:color w:val="000000"/>
          <w:sz w:val="22"/>
          <w:szCs w:val="22"/>
          <w:lang w:val="it-IT"/>
        </w:rPr>
        <w:t>Đơn vị tính: %</w:t>
      </w:r>
    </w:p>
    <w:tbl>
      <w:tblPr>
        <w:tblStyle w:val="TableGrid"/>
        <w:tblW w:w="0" w:type="auto"/>
        <w:tblLook w:val="01E0"/>
      </w:tblPr>
      <w:tblGrid>
        <w:gridCol w:w="1807"/>
        <w:gridCol w:w="1807"/>
        <w:gridCol w:w="1807"/>
        <w:gridCol w:w="1807"/>
        <w:gridCol w:w="1808"/>
      </w:tblGrid>
      <w:tr w:rsidR="00E16C50" w:rsidRPr="00916FE2" w:rsidTr="003D371A">
        <w:tc>
          <w:tcPr>
            <w:tcW w:w="1807" w:type="dxa"/>
            <w:vMerge w:val="restart"/>
            <w:vAlign w:val="center"/>
          </w:tcPr>
          <w:p w:rsidR="00E16C50" w:rsidRPr="00642EFA" w:rsidRDefault="00E16C50" w:rsidP="00642EFA">
            <w:pPr>
              <w:spacing w:line="280" w:lineRule="exact"/>
              <w:jc w:val="center"/>
              <w:rPr>
                <w:rFonts w:eastAsia="Calibri"/>
                <w:b/>
                <w:bCs/>
                <w:sz w:val="22"/>
              </w:rPr>
            </w:pPr>
            <w:r w:rsidRPr="00642EFA">
              <w:rPr>
                <w:rFonts w:eastAsia="Calibri"/>
                <w:b/>
                <w:bCs/>
                <w:sz w:val="22"/>
              </w:rPr>
              <w:t>Năm</w:t>
            </w:r>
          </w:p>
        </w:tc>
        <w:tc>
          <w:tcPr>
            <w:tcW w:w="7229" w:type="dxa"/>
            <w:gridSpan w:val="4"/>
            <w:vAlign w:val="center"/>
          </w:tcPr>
          <w:p w:rsidR="00E16C50" w:rsidRPr="00642EFA" w:rsidRDefault="00E16C50" w:rsidP="00642EFA">
            <w:pPr>
              <w:spacing w:line="280" w:lineRule="exact"/>
              <w:jc w:val="center"/>
              <w:rPr>
                <w:rFonts w:eastAsia="Calibri"/>
                <w:b/>
                <w:bCs/>
                <w:sz w:val="22"/>
              </w:rPr>
            </w:pPr>
            <w:r w:rsidRPr="00642EFA">
              <w:rPr>
                <w:rFonts w:eastAsia="Calibri"/>
                <w:b/>
                <w:bCs/>
                <w:sz w:val="22"/>
              </w:rPr>
              <w:t>Phân theo thành thị, nông thôn</w:t>
            </w:r>
          </w:p>
        </w:tc>
      </w:tr>
      <w:tr w:rsidR="00E16C50" w:rsidRPr="00916FE2" w:rsidTr="003D371A">
        <w:tc>
          <w:tcPr>
            <w:tcW w:w="1807" w:type="dxa"/>
            <w:vMerge/>
          </w:tcPr>
          <w:p w:rsidR="00E16C50" w:rsidRPr="00642EFA" w:rsidRDefault="00E16C50" w:rsidP="00642EFA">
            <w:pPr>
              <w:spacing w:line="280" w:lineRule="exact"/>
              <w:jc w:val="center"/>
              <w:rPr>
                <w:rFonts w:eastAsia="Calibri"/>
                <w:b/>
                <w:bCs/>
                <w:sz w:val="22"/>
              </w:rPr>
            </w:pPr>
          </w:p>
        </w:tc>
        <w:tc>
          <w:tcPr>
            <w:tcW w:w="5421" w:type="dxa"/>
            <w:gridSpan w:val="3"/>
            <w:vAlign w:val="center"/>
          </w:tcPr>
          <w:p w:rsidR="00E16C50" w:rsidRPr="00642EFA" w:rsidRDefault="00E16C50" w:rsidP="00642EFA">
            <w:pPr>
              <w:spacing w:line="280" w:lineRule="exact"/>
              <w:jc w:val="center"/>
              <w:rPr>
                <w:rFonts w:eastAsia="Calibri"/>
                <w:b/>
                <w:bCs/>
                <w:sz w:val="22"/>
              </w:rPr>
            </w:pPr>
            <w:r w:rsidRPr="00642EFA">
              <w:rPr>
                <w:rFonts w:eastAsia="Calibri"/>
                <w:b/>
                <w:bCs/>
                <w:sz w:val="22"/>
              </w:rPr>
              <w:t>Thành thị</w:t>
            </w:r>
          </w:p>
        </w:tc>
        <w:tc>
          <w:tcPr>
            <w:tcW w:w="1808" w:type="dxa"/>
            <w:vMerge w:val="restart"/>
            <w:vAlign w:val="center"/>
          </w:tcPr>
          <w:p w:rsidR="00E16C50" w:rsidRPr="00642EFA" w:rsidRDefault="00E16C50" w:rsidP="00642EFA">
            <w:pPr>
              <w:spacing w:line="280" w:lineRule="exact"/>
              <w:jc w:val="center"/>
              <w:rPr>
                <w:rFonts w:eastAsia="Calibri"/>
                <w:b/>
                <w:bCs/>
                <w:sz w:val="22"/>
              </w:rPr>
            </w:pPr>
            <w:r w:rsidRPr="00642EFA">
              <w:rPr>
                <w:rFonts w:eastAsia="Calibri"/>
                <w:b/>
                <w:bCs/>
                <w:sz w:val="22"/>
              </w:rPr>
              <w:t>Nông thôn</w:t>
            </w:r>
          </w:p>
        </w:tc>
      </w:tr>
      <w:tr w:rsidR="00E16C50" w:rsidRPr="00916FE2" w:rsidTr="003D371A">
        <w:tc>
          <w:tcPr>
            <w:tcW w:w="1807" w:type="dxa"/>
            <w:vMerge/>
          </w:tcPr>
          <w:p w:rsidR="00E16C50" w:rsidRPr="00642EFA" w:rsidRDefault="00E16C50" w:rsidP="00642EFA">
            <w:pPr>
              <w:spacing w:line="280" w:lineRule="exact"/>
              <w:jc w:val="center"/>
              <w:rPr>
                <w:rFonts w:eastAsia="Calibri"/>
                <w:b/>
                <w:bCs/>
                <w:sz w:val="22"/>
              </w:rPr>
            </w:pPr>
          </w:p>
        </w:tc>
        <w:tc>
          <w:tcPr>
            <w:tcW w:w="1807" w:type="dxa"/>
            <w:vAlign w:val="center"/>
          </w:tcPr>
          <w:p w:rsidR="00E16C50" w:rsidRPr="00642EFA" w:rsidRDefault="00E16C50" w:rsidP="00642EFA">
            <w:pPr>
              <w:spacing w:line="280" w:lineRule="exact"/>
              <w:jc w:val="center"/>
              <w:rPr>
                <w:rFonts w:eastAsia="Calibri"/>
                <w:b/>
                <w:bCs/>
                <w:sz w:val="22"/>
              </w:rPr>
            </w:pPr>
            <w:r w:rsidRPr="00642EFA">
              <w:rPr>
                <w:rFonts w:eastAsia="Calibri"/>
                <w:b/>
                <w:bCs/>
                <w:sz w:val="22"/>
              </w:rPr>
              <w:t>Tổng số</w:t>
            </w:r>
          </w:p>
        </w:tc>
        <w:tc>
          <w:tcPr>
            <w:tcW w:w="1807" w:type="dxa"/>
            <w:vAlign w:val="center"/>
          </w:tcPr>
          <w:p w:rsidR="00E16C50" w:rsidRPr="00642EFA" w:rsidRDefault="00E16C50" w:rsidP="00642EFA">
            <w:pPr>
              <w:spacing w:line="280" w:lineRule="exact"/>
              <w:jc w:val="center"/>
              <w:rPr>
                <w:rFonts w:eastAsia="Calibri"/>
                <w:b/>
                <w:bCs/>
                <w:sz w:val="22"/>
              </w:rPr>
            </w:pPr>
            <w:r w:rsidRPr="00642EFA">
              <w:rPr>
                <w:rFonts w:eastAsia="Calibri"/>
                <w:b/>
                <w:bCs/>
                <w:sz w:val="22"/>
              </w:rPr>
              <w:t>Nam</w:t>
            </w:r>
          </w:p>
        </w:tc>
        <w:tc>
          <w:tcPr>
            <w:tcW w:w="1807" w:type="dxa"/>
            <w:vAlign w:val="center"/>
          </w:tcPr>
          <w:p w:rsidR="00E16C50" w:rsidRPr="00642EFA" w:rsidRDefault="00E16C50" w:rsidP="00642EFA">
            <w:pPr>
              <w:spacing w:line="280" w:lineRule="exact"/>
              <w:jc w:val="center"/>
              <w:rPr>
                <w:rFonts w:eastAsia="Calibri"/>
                <w:b/>
                <w:bCs/>
                <w:sz w:val="22"/>
              </w:rPr>
            </w:pPr>
            <w:r w:rsidRPr="00642EFA">
              <w:rPr>
                <w:rFonts w:eastAsia="Calibri"/>
                <w:b/>
                <w:bCs/>
                <w:sz w:val="22"/>
              </w:rPr>
              <w:t>Nữ</w:t>
            </w:r>
          </w:p>
        </w:tc>
        <w:tc>
          <w:tcPr>
            <w:tcW w:w="1808" w:type="dxa"/>
            <w:vMerge/>
          </w:tcPr>
          <w:p w:rsidR="00E16C50" w:rsidRPr="00642EFA" w:rsidRDefault="00E16C50" w:rsidP="00642EFA">
            <w:pPr>
              <w:spacing w:line="280" w:lineRule="exact"/>
              <w:jc w:val="center"/>
              <w:rPr>
                <w:rFonts w:eastAsia="Calibri"/>
                <w:b/>
                <w:bCs/>
                <w:sz w:val="22"/>
              </w:rPr>
            </w:pPr>
          </w:p>
        </w:tc>
      </w:tr>
      <w:tr w:rsidR="00E16C50" w:rsidRPr="00916FE2" w:rsidTr="003D371A">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2006</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5,28</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5,95</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4,55</w:t>
            </w:r>
          </w:p>
        </w:tc>
        <w:tc>
          <w:tcPr>
            <w:tcW w:w="1808" w:type="dxa"/>
          </w:tcPr>
          <w:p w:rsidR="00E16C50" w:rsidRPr="00642EFA" w:rsidRDefault="00E16C50" w:rsidP="00642EFA">
            <w:pPr>
              <w:spacing w:line="280" w:lineRule="exact"/>
              <w:jc w:val="center"/>
              <w:rPr>
                <w:rFonts w:eastAsia="Calibri"/>
                <w:bCs/>
                <w:sz w:val="22"/>
              </w:rPr>
            </w:pPr>
            <w:r w:rsidRPr="00642EFA">
              <w:rPr>
                <w:rFonts w:eastAsia="Calibri"/>
                <w:bCs/>
                <w:sz w:val="22"/>
              </w:rPr>
              <w:t>-</w:t>
            </w:r>
          </w:p>
        </w:tc>
      </w:tr>
      <w:tr w:rsidR="00E16C50" w:rsidRPr="00916FE2" w:rsidTr="003D371A">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2007</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4,91</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5,58</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4,17</w:t>
            </w:r>
          </w:p>
        </w:tc>
        <w:tc>
          <w:tcPr>
            <w:tcW w:w="1808" w:type="dxa"/>
          </w:tcPr>
          <w:p w:rsidR="00E16C50" w:rsidRPr="00642EFA" w:rsidRDefault="00E16C50" w:rsidP="00642EFA">
            <w:pPr>
              <w:spacing w:line="280" w:lineRule="exact"/>
              <w:jc w:val="center"/>
              <w:rPr>
                <w:rFonts w:eastAsia="Calibri"/>
                <w:bCs/>
                <w:sz w:val="22"/>
              </w:rPr>
            </w:pPr>
            <w:r w:rsidRPr="00642EFA">
              <w:rPr>
                <w:rFonts w:eastAsia="Calibri"/>
                <w:bCs/>
                <w:sz w:val="22"/>
              </w:rPr>
              <w:t>-</w:t>
            </w:r>
          </w:p>
        </w:tc>
      </w:tr>
      <w:tr w:rsidR="00E16C50" w:rsidRPr="00916FE2" w:rsidTr="003D371A">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2008</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2,96</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2,74</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3,19</w:t>
            </w:r>
          </w:p>
        </w:tc>
        <w:tc>
          <w:tcPr>
            <w:tcW w:w="1808" w:type="dxa"/>
          </w:tcPr>
          <w:p w:rsidR="00E16C50" w:rsidRPr="00642EFA" w:rsidRDefault="00E16C50" w:rsidP="00642EFA">
            <w:pPr>
              <w:spacing w:line="280" w:lineRule="exact"/>
              <w:jc w:val="center"/>
              <w:rPr>
                <w:rFonts w:eastAsia="Calibri"/>
                <w:bCs/>
                <w:sz w:val="22"/>
              </w:rPr>
            </w:pPr>
            <w:r w:rsidRPr="00642EFA">
              <w:rPr>
                <w:rFonts w:eastAsia="Calibri"/>
                <w:bCs/>
                <w:sz w:val="22"/>
              </w:rPr>
              <w:t>-</w:t>
            </w:r>
          </w:p>
        </w:tc>
      </w:tr>
      <w:tr w:rsidR="00E16C50" w:rsidRPr="00916FE2" w:rsidTr="003D371A">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2009</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4,46</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5,3</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3,62</w:t>
            </w:r>
          </w:p>
        </w:tc>
        <w:tc>
          <w:tcPr>
            <w:tcW w:w="1808" w:type="dxa"/>
          </w:tcPr>
          <w:p w:rsidR="00E16C50" w:rsidRPr="00642EFA" w:rsidRDefault="00E16C50" w:rsidP="00642EFA">
            <w:pPr>
              <w:spacing w:line="280" w:lineRule="exact"/>
              <w:jc w:val="center"/>
              <w:rPr>
                <w:rFonts w:eastAsia="Calibri"/>
                <w:bCs/>
                <w:sz w:val="22"/>
              </w:rPr>
            </w:pPr>
            <w:r w:rsidRPr="00642EFA">
              <w:rPr>
                <w:rFonts w:eastAsia="Calibri"/>
                <w:bCs/>
                <w:sz w:val="22"/>
              </w:rPr>
              <w:t>1,54</w:t>
            </w:r>
          </w:p>
        </w:tc>
      </w:tr>
      <w:tr w:rsidR="00E16C50" w:rsidRPr="00916FE2" w:rsidTr="003D371A">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2010</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4,24</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4,86</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3,58</w:t>
            </w:r>
          </w:p>
        </w:tc>
        <w:tc>
          <w:tcPr>
            <w:tcW w:w="1808" w:type="dxa"/>
          </w:tcPr>
          <w:p w:rsidR="00E16C50" w:rsidRPr="00642EFA" w:rsidRDefault="00E16C50" w:rsidP="00642EFA">
            <w:pPr>
              <w:spacing w:line="280" w:lineRule="exact"/>
              <w:jc w:val="center"/>
              <w:rPr>
                <w:rFonts w:eastAsia="Calibri"/>
                <w:bCs/>
                <w:sz w:val="22"/>
              </w:rPr>
            </w:pPr>
            <w:r w:rsidRPr="00642EFA">
              <w:rPr>
                <w:rFonts w:eastAsia="Calibri"/>
                <w:bCs/>
                <w:sz w:val="22"/>
              </w:rPr>
              <w:t>1,67</w:t>
            </w:r>
          </w:p>
        </w:tc>
      </w:tr>
      <w:tr w:rsidR="00E16C50" w:rsidRPr="00916FE2" w:rsidTr="003D371A">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2011</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1,77</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1,52</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2,01</w:t>
            </w:r>
          </w:p>
        </w:tc>
        <w:tc>
          <w:tcPr>
            <w:tcW w:w="1808" w:type="dxa"/>
          </w:tcPr>
          <w:p w:rsidR="00E16C50" w:rsidRPr="00642EFA" w:rsidRDefault="00E16C50" w:rsidP="00642EFA">
            <w:pPr>
              <w:spacing w:line="280" w:lineRule="exact"/>
              <w:jc w:val="center"/>
              <w:rPr>
                <w:rFonts w:eastAsia="Calibri"/>
                <w:bCs/>
                <w:sz w:val="22"/>
              </w:rPr>
            </w:pPr>
            <w:r w:rsidRPr="00642EFA">
              <w:rPr>
                <w:rFonts w:eastAsia="Calibri"/>
                <w:bCs/>
                <w:sz w:val="22"/>
              </w:rPr>
              <w:t>0,52</w:t>
            </w:r>
          </w:p>
        </w:tc>
      </w:tr>
      <w:tr w:rsidR="00E16C50" w:rsidRPr="00916FE2" w:rsidTr="003D371A">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2012</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2,32</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2,04</w:t>
            </w:r>
          </w:p>
        </w:tc>
        <w:tc>
          <w:tcPr>
            <w:tcW w:w="1807" w:type="dxa"/>
          </w:tcPr>
          <w:p w:rsidR="00E16C50" w:rsidRPr="00642EFA" w:rsidRDefault="00E16C50" w:rsidP="00642EFA">
            <w:pPr>
              <w:spacing w:line="280" w:lineRule="exact"/>
              <w:jc w:val="center"/>
              <w:rPr>
                <w:rFonts w:eastAsia="Calibri"/>
                <w:bCs/>
                <w:sz w:val="22"/>
              </w:rPr>
            </w:pPr>
            <w:r w:rsidRPr="00642EFA">
              <w:rPr>
                <w:rFonts w:eastAsia="Calibri"/>
                <w:bCs/>
                <w:sz w:val="22"/>
              </w:rPr>
              <w:t>2,58</w:t>
            </w:r>
          </w:p>
        </w:tc>
        <w:tc>
          <w:tcPr>
            <w:tcW w:w="1808" w:type="dxa"/>
          </w:tcPr>
          <w:p w:rsidR="00E16C50" w:rsidRPr="00642EFA" w:rsidRDefault="00E16C50" w:rsidP="00642EFA">
            <w:pPr>
              <w:spacing w:line="280" w:lineRule="exact"/>
              <w:jc w:val="center"/>
              <w:rPr>
                <w:rFonts w:eastAsia="Calibri"/>
                <w:bCs/>
                <w:sz w:val="22"/>
              </w:rPr>
            </w:pPr>
            <w:r w:rsidRPr="00642EFA">
              <w:rPr>
                <w:rFonts w:eastAsia="Calibri"/>
                <w:bCs/>
                <w:sz w:val="22"/>
              </w:rPr>
              <w:t>1,15</w:t>
            </w:r>
          </w:p>
        </w:tc>
      </w:tr>
    </w:tbl>
    <w:p w:rsidR="00E16C50" w:rsidRPr="00916FE2" w:rsidRDefault="00E16C50" w:rsidP="00E16C50">
      <w:pPr>
        <w:spacing w:line="360" w:lineRule="auto"/>
        <w:ind w:firstLine="720"/>
        <w:jc w:val="center"/>
        <w:rPr>
          <w:i/>
          <w:color w:val="000000"/>
          <w:sz w:val="22"/>
          <w:szCs w:val="22"/>
          <w:lang w:val="it-IT"/>
        </w:rPr>
      </w:pPr>
      <w:r>
        <w:rPr>
          <w:i/>
          <w:color w:val="000000"/>
          <w:sz w:val="22"/>
          <w:szCs w:val="22"/>
          <w:lang w:val="it-IT"/>
        </w:rPr>
        <w:t>Nguồn: [5</w:t>
      </w:r>
      <w:r w:rsidRPr="00916FE2">
        <w:rPr>
          <w:i/>
          <w:color w:val="000000"/>
          <w:sz w:val="22"/>
          <w:szCs w:val="22"/>
          <w:lang w:val="it-IT"/>
        </w:rPr>
        <w:t>, tr.27</w:t>
      </w:r>
      <w:r>
        <w:rPr>
          <w:i/>
          <w:color w:val="000000"/>
          <w:sz w:val="22"/>
          <w:szCs w:val="22"/>
          <w:lang w:val="it-IT"/>
        </w:rPr>
        <w:t xml:space="preserve"> và tính toán của tác giả</w:t>
      </w:r>
      <w:r w:rsidRPr="00916FE2">
        <w:rPr>
          <w:i/>
          <w:color w:val="000000"/>
          <w:sz w:val="22"/>
          <w:szCs w:val="22"/>
          <w:lang w:val="it-IT"/>
        </w:rPr>
        <w:t>]</w:t>
      </w:r>
    </w:p>
    <w:p w:rsidR="00E16C50" w:rsidRDefault="00E16C50" w:rsidP="00E16C50">
      <w:pPr>
        <w:spacing w:line="360" w:lineRule="auto"/>
        <w:jc w:val="both"/>
        <w:rPr>
          <w:color w:val="000000"/>
          <w:sz w:val="22"/>
          <w:szCs w:val="22"/>
          <w:lang w:val="it-IT"/>
        </w:rPr>
        <w:sectPr w:rsidR="00E16C50" w:rsidSect="00601C0A">
          <w:type w:val="continuous"/>
          <w:pgSz w:w="12240" w:h="15840"/>
          <w:pgMar w:top="1440" w:right="1440" w:bottom="1440" w:left="1440" w:header="720" w:footer="720" w:gutter="0"/>
          <w:cols w:space="720"/>
          <w:docGrid w:linePitch="360"/>
        </w:sectPr>
      </w:pPr>
    </w:p>
    <w:p w:rsidR="00E16C50" w:rsidRPr="00642EFA" w:rsidRDefault="00E16C50" w:rsidP="00642EFA">
      <w:pPr>
        <w:tabs>
          <w:tab w:val="left" w:pos="7815"/>
        </w:tabs>
        <w:spacing w:line="280" w:lineRule="exact"/>
        <w:ind w:firstLine="340"/>
        <w:jc w:val="both"/>
        <w:rPr>
          <w:rFonts w:eastAsia="Calibri"/>
          <w:sz w:val="22"/>
        </w:rPr>
      </w:pPr>
      <w:r w:rsidRPr="00642EFA">
        <w:rPr>
          <w:rFonts w:eastAsia="Calibri"/>
          <w:sz w:val="22"/>
        </w:rPr>
        <w:lastRenderedPageBreak/>
        <w:t xml:space="preserve">Giai đoạn 2009 – 2010, tỷ lệ thất nghiệp trên của cả khu vực thành thị và nông thôn trên địa bàn tỉnh tăng khá nhanh. Điều này là do tỉnh Thái Nguyên cũng chịu tác động mạnh của cuộc khủng hoảng kinh tế thế giới. Bên cạnh đó, cũng cho thấy sự thiếu bền vững trong phát triển kinh tế trên địa bàn tỉnh thời gian qua vì Thái Nguyên là một tỉnh có tiềm năng phát triển công nghiệp lâu năm, nhưng lại chủ yếu dựa trên những ngành công nghiệp nặng với công nghệ lạc hậu </w:t>
      </w:r>
      <w:r w:rsidRPr="00642EFA">
        <w:rPr>
          <w:rFonts w:eastAsia="Calibri"/>
          <w:sz w:val="22"/>
        </w:rPr>
        <w:lastRenderedPageBreak/>
        <w:t xml:space="preserve">nên không đủ sức cạnh tranh và dễ bị tổn thương khi có biến động kinh tế. </w:t>
      </w:r>
    </w:p>
    <w:p w:rsidR="00E16C50" w:rsidRPr="00642EFA" w:rsidRDefault="00E16C50" w:rsidP="00642EFA">
      <w:pPr>
        <w:tabs>
          <w:tab w:val="left" w:pos="7815"/>
        </w:tabs>
        <w:spacing w:line="280" w:lineRule="exact"/>
        <w:ind w:firstLine="340"/>
        <w:jc w:val="both"/>
        <w:rPr>
          <w:rFonts w:eastAsia="Calibri"/>
          <w:b/>
          <w:i/>
          <w:sz w:val="22"/>
        </w:rPr>
      </w:pPr>
      <w:r w:rsidRPr="00642EFA">
        <w:rPr>
          <w:rFonts w:eastAsia="Calibri"/>
          <w:b/>
          <w:i/>
          <w:sz w:val="22"/>
        </w:rPr>
        <w:t>Về tình trạng đói nghèo</w:t>
      </w:r>
    </w:p>
    <w:p w:rsidR="00642EFA" w:rsidRDefault="00E16C50" w:rsidP="00642EFA">
      <w:pPr>
        <w:tabs>
          <w:tab w:val="left" w:pos="7815"/>
        </w:tabs>
        <w:spacing w:line="280" w:lineRule="exact"/>
        <w:ind w:firstLine="340"/>
        <w:jc w:val="both"/>
        <w:rPr>
          <w:rFonts w:eastAsia="Calibri"/>
          <w:sz w:val="22"/>
        </w:rPr>
      </w:pPr>
      <w:r w:rsidRPr="00642EFA">
        <w:rPr>
          <w:rFonts w:eastAsia="Calibri"/>
          <w:sz w:val="22"/>
        </w:rPr>
        <w:t>Theo Quyết định số 09/2011/QĐ – TTg, ngày 30 tháng 1 năm 2011 của Thủ tướng Chính phủ về việc Ban hành chuẩn hộ nghèo, hộ cận nghèo áp dụng cho giai đoạn 2011 – 2015, tỷ lệ hộ nghèo trên địa bàn tỉnh Thái Nguyên có xu hướng giảm mạnh.</w:t>
      </w:r>
    </w:p>
    <w:p w:rsidR="00642EFA" w:rsidRPr="00642EFA" w:rsidRDefault="00642EFA" w:rsidP="00642EFA">
      <w:pPr>
        <w:tabs>
          <w:tab w:val="left" w:pos="7815"/>
        </w:tabs>
        <w:spacing w:line="280" w:lineRule="exact"/>
        <w:jc w:val="both"/>
        <w:rPr>
          <w:rFonts w:eastAsia="Calibri"/>
          <w:sz w:val="22"/>
        </w:rPr>
        <w:sectPr w:rsidR="00642EFA" w:rsidRPr="00642EFA" w:rsidSect="00AC6FD7">
          <w:type w:val="continuous"/>
          <w:pgSz w:w="12240" w:h="15840"/>
          <w:pgMar w:top="1440" w:right="1440" w:bottom="1440" w:left="1440" w:header="720" w:footer="720" w:gutter="0"/>
          <w:cols w:num="2" w:space="720"/>
          <w:docGrid w:linePitch="360"/>
        </w:sectPr>
      </w:pPr>
    </w:p>
    <w:p w:rsidR="00E16C50" w:rsidRDefault="00E16C50" w:rsidP="00E16C50">
      <w:pPr>
        <w:spacing w:line="360" w:lineRule="auto"/>
        <w:jc w:val="both"/>
        <w:rPr>
          <w:b/>
          <w:i/>
          <w:color w:val="000000"/>
          <w:sz w:val="22"/>
          <w:szCs w:val="22"/>
          <w:lang w:val="it-IT"/>
        </w:rPr>
        <w:sectPr w:rsidR="00E16C50" w:rsidSect="00601C0A">
          <w:type w:val="continuous"/>
          <w:pgSz w:w="12240" w:h="15840"/>
          <w:pgMar w:top="1440" w:right="1440" w:bottom="1440" w:left="1440" w:header="720" w:footer="720" w:gutter="0"/>
          <w:cols w:space="720"/>
          <w:docGrid w:linePitch="360"/>
        </w:sectPr>
      </w:pPr>
    </w:p>
    <w:p w:rsidR="00E16C50" w:rsidRPr="00642EFA" w:rsidRDefault="00E16C50" w:rsidP="00642EFA">
      <w:pPr>
        <w:spacing w:line="360" w:lineRule="auto"/>
        <w:jc w:val="center"/>
        <w:rPr>
          <w:rFonts w:eastAsia="Calibri"/>
          <w:i/>
          <w:sz w:val="22"/>
        </w:rPr>
      </w:pPr>
      <w:r w:rsidRPr="00642EFA">
        <w:rPr>
          <w:rFonts w:eastAsia="Calibri"/>
          <w:b/>
          <w:sz w:val="22"/>
        </w:rPr>
        <w:lastRenderedPageBreak/>
        <w:t>Bảng 3: Số hộ nghèo và tỷ lệ hộ nghèo chia theo huyện/ thành phố/ thị xã</w:t>
      </w:r>
      <w:r w:rsidRPr="00642EFA">
        <w:rPr>
          <w:rFonts w:eastAsia="Calibri"/>
          <w:sz w:val="22"/>
        </w:rPr>
        <w:t xml:space="preserve"> (</w:t>
      </w:r>
      <w:r w:rsidRPr="00642EFA">
        <w:rPr>
          <w:rFonts w:eastAsia="Calibri"/>
          <w:i/>
          <w:sz w:val="22"/>
        </w:rPr>
        <w:t>Theo chuẩn nghèo giai đoạn 2011 – 2015 )</w:t>
      </w:r>
    </w:p>
    <w:tbl>
      <w:tblPr>
        <w:tblStyle w:val="TableGrid"/>
        <w:tblW w:w="9540" w:type="dxa"/>
        <w:tblInd w:w="18" w:type="dxa"/>
        <w:tblLook w:val="01E0"/>
      </w:tblPr>
      <w:tblGrid>
        <w:gridCol w:w="2059"/>
        <w:gridCol w:w="821"/>
        <w:gridCol w:w="1170"/>
        <w:gridCol w:w="1530"/>
        <w:gridCol w:w="1260"/>
        <w:gridCol w:w="1170"/>
        <w:gridCol w:w="1530"/>
      </w:tblGrid>
      <w:tr w:rsidR="00E16C50" w:rsidRPr="00916FE2" w:rsidTr="003D371A">
        <w:tc>
          <w:tcPr>
            <w:tcW w:w="2059" w:type="dxa"/>
            <w:vMerge w:val="restart"/>
            <w:vAlign w:val="center"/>
          </w:tcPr>
          <w:p w:rsidR="00E16C50" w:rsidRPr="00642EFA" w:rsidRDefault="00E16C50" w:rsidP="00642EFA">
            <w:pPr>
              <w:spacing w:line="280" w:lineRule="exact"/>
              <w:jc w:val="center"/>
              <w:rPr>
                <w:rFonts w:eastAsia="Calibri"/>
                <w:b/>
                <w:bCs/>
                <w:sz w:val="22"/>
              </w:rPr>
            </w:pPr>
            <w:r w:rsidRPr="00642EFA">
              <w:rPr>
                <w:rFonts w:eastAsia="Calibri"/>
                <w:b/>
                <w:bCs/>
                <w:sz w:val="22"/>
              </w:rPr>
              <w:t>Phân theo đơn vị cấp huyên</w:t>
            </w:r>
          </w:p>
        </w:tc>
        <w:tc>
          <w:tcPr>
            <w:tcW w:w="3521" w:type="dxa"/>
            <w:gridSpan w:val="3"/>
            <w:vAlign w:val="center"/>
          </w:tcPr>
          <w:p w:rsidR="00E16C50" w:rsidRPr="00642EFA" w:rsidRDefault="00E16C50" w:rsidP="00642EFA">
            <w:pPr>
              <w:spacing w:line="280" w:lineRule="exact"/>
              <w:jc w:val="center"/>
              <w:rPr>
                <w:rFonts w:eastAsia="Calibri"/>
                <w:b/>
                <w:bCs/>
                <w:sz w:val="22"/>
              </w:rPr>
            </w:pPr>
            <w:r w:rsidRPr="00642EFA">
              <w:rPr>
                <w:rFonts w:eastAsia="Calibri"/>
                <w:b/>
                <w:bCs/>
                <w:sz w:val="22"/>
              </w:rPr>
              <w:t>Năm 2011</w:t>
            </w:r>
          </w:p>
        </w:tc>
        <w:tc>
          <w:tcPr>
            <w:tcW w:w="3960" w:type="dxa"/>
            <w:gridSpan w:val="3"/>
            <w:vAlign w:val="center"/>
          </w:tcPr>
          <w:p w:rsidR="00E16C50" w:rsidRPr="00642EFA" w:rsidRDefault="00E16C50" w:rsidP="00642EFA">
            <w:pPr>
              <w:spacing w:line="280" w:lineRule="exact"/>
              <w:jc w:val="center"/>
              <w:rPr>
                <w:rFonts w:eastAsia="Calibri"/>
                <w:b/>
                <w:bCs/>
                <w:sz w:val="22"/>
              </w:rPr>
            </w:pPr>
            <w:r w:rsidRPr="00642EFA">
              <w:rPr>
                <w:rFonts w:eastAsia="Calibri"/>
                <w:b/>
                <w:bCs/>
                <w:sz w:val="22"/>
              </w:rPr>
              <w:t>Năm 2012</w:t>
            </w:r>
          </w:p>
        </w:tc>
      </w:tr>
      <w:tr w:rsidR="00E16C50" w:rsidRPr="00916FE2" w:rsidTr="003D371A">
        <w:tc>
          <w:tcPr>
            <w:tcW w:w="2059" w:type="dxa"/>
            <w:vMerge/>
          </w:tcPr>
          <w:p w:rsidR="00E16C50" w:rsidRPr="00642EFA" w:rsidRDefault="00E16C50" w:rsidP="00642EFA">
            <w:pPr>
              <w:spacing w:line="280" w:lineRule="exact"/>
              <w:jc w:val="center"/>
              <w:rPr>
                <w:rFonts w:eastAsia="Calibri"/>
                <w:bCs/>
                <w:sz w:val="22"/>
              </w:rPr>
            </w:pPr>
          </w:p>
        </w:tc>
        <w:tc>
          <w:tcPr>
            <w:tcW w:w="821" w:type="dxa"/>
          </w:tcPr>
          <w:p w:rsidR="00E16C50" w:rsidRPr="00642EFA" w:rsidRDefault="00E16C50" w:rsidP="00642EFA">
            <w:pPr>
              <w:spacing w:line="280" w:lineRule="exact"/>
              <w:jc w:val="center"/>
              <w:rPr>
                <w:rFonts w:eastAsia="Calibri"/>
                <w:bCs/>
                <w:sz w:val="22"/>
              </w:rPr>
            </w:pPr>
            <w:r w:rsidRPr="00642EFA">
              <w:rPr>
                <w:rFonts w:eastAsia="Calibri"/>
                <w:bCs/>
                <w:sz w:val="22"/>
              </w:rPr>
              <w:t>Số hộ nghèo (Hộ)</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Tỷ lệ hộ nghèo (%)</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Tỷ lệ giảm hộ nghèo trong năm (%)</w:t>
            </w:r>
          </w:p>
        </w:tc>
        <w:tc>
          <w:tcPr>
            <w:tcW w:w="1260" w:type="dxa"/>
          </w:tcPr>
          <w:p w:rsidR="00E16C50" w:rsidRPr="00642EFA" w:rsidRDefault="00E16C50" w:rsidP="00642EFA">
            <w:pPr>
              <w:spacing w:line="280" w:lineRule="exact"/>
              <w:jc w:val="center"/>
              <w:rPr>
                <w:rFonts w:eastAsia="Calibri"/>
                <w:bCs/>
                <w:sz w:val="22"/>
              </w:rPr>
            </w:pPr>
            <w:r w:rsidRPr="00642EFA">
              <w:rPr>
                <w:rFonts w:eastAsia="Calibri"/>
                <w:bCs/>
                <w:sz w:val="22"/>
              </w:rPr>
              <w:t>Số hộ nghèo (Hộ)</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Tỷ lệ hộ nghèo (%)</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Tỷ lệ giảm hộ nghèo trong năm (%)</w:t>
            </w:r>
          </w:p>
        </w:tc>
      </w:tr>
      <w:tr w:rsidR="00E16C50" w:rsidRPr="00916FE2" w:rsidTr="003D371A">
        <w:tc>
          <w:tcPr>
            <w:tcW w:w="2059" w:type="dxa"/>
          </w:tcPr>
          <w:p w:rsidR="00E16C50" w:rsidRPr="00642EFA" w:rsidRDefault="00E16C50" w:rsidP="00642EFA">
            <w:pPr>
              <w:spacing w:line="280" w:lineRule="exact"/>
              <w:jc w:val="center"/>
              <w:rPr>
                <w:rFonts w:eastAsia="Calibri"/>
                <w:bCs/>
                <w:sz w:val="22"/>
              </w:rPr>
            </w:pPr>
            <w:r w:rsidRPr="00642EFA">
              <w:rPr>
                <w:rFonts w:eastAsia="Calibri"/>
                <w:bCs/>
                <w:sz w:val="22"/>
              </w:rPr>
              <w:t>TP Thái Nguyên</w:t>
            </w:r>
          </w:p>
        </w:tc>
        <w:tc>
          <w:tcPr>
            <w:tcW w:w="821" w:type="dxa"/>
          </w:tcPr>
          <w:p w:rsidR="00E16C50" w:rsidRPr="00642EFA" w:rsidRDefault="00E16C50" w:rsidP="00642EFA">
            <w:pPr>
              <w:spacing w:line="280" w:lineRule="exact"/>
              <w:jc w:val="center"/>
              <w:rPr>
                <w:rFonts w:eastAsia="Calibri"/>
                <w:bCs/>
                <w:sz w:val="22"/>
              </w:rPr>
            </w:pPr>
            <w:r w:rsidRPr="00642EFA">
              <w:rPr>
                <w:rFonts w:eastAsia="Calibri"/>
                <w:bCs/>
                <w:sz w:val="22"/>
              </w:rPr>
              <w:t>2.322</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3,61</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0,92</w:t>
            </w:r>
          </w:p>
        </w:tc>
        <w:tc>
          <w:tcPr>
            <w:tcW w:w="1260" w:type="dxa"/>
          </w:tcPr>
          <w:p w:rsidR="00E16C50" w:rsidRPr="00642EFA" w:rsidRDefault="00E16C50" w:rsidP="00642EFA">
            <w:pPr>
              <w:spacing w:line="280" w:lineRule="exact"/>
              <w:jc w:val="center"/>
              <w:rPr>
                <w:rFonts w:eastAsia="Calibri"/>
                <w:bCs/>
                <w:sz w:val="22"/>
              </w:rPr>
            </w:pPr>
            <w:r w:rsidRPr="00642EFA">
              <w:rPr>
                <w:rFonts w:eastAsia="Calibri"/>
                <w:bCs/>
                <w:sz w:val="22"/>
              </w:rPr>
              <w:t>2.069</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3,11</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0,50</w:t>
            </w:r>
          </w:p>
        </w:tc>
      </w:tr>
      <w:tr w:rsidR="00E16C50" w:rsidRPr="00916FE2" w:rsidTr="003D371A">
        <w:tc>
          <w:tcPr>
            <w:tcW w:w="2059" w:type="dxa"/>
          </w:tcPr>
          <w:p w:rsidR="00E16C50" w:rsidRPr="00642EFA" w:rsidRDefault="00E16C50" w:rsidP="00642EFA">
            <w:pPr>
              <w:spacing w:line="280" w:lineRule="exact"/>
              <w:jc w:val="center"/>
              <w:rPr>
                <w:rFonts w:eastAsia="Calibri"/>
                <w:bCs/>
                <w:sz w:val="22"/>
              </w:rPr>
            </w:pPr>
            <w:r w:rsidRPr="00642EFA">
              <w:rPr>
                <w:rFonts w:eastAsia="Calibri"/>
                <w:bCs/>
                <w:sz w:val="22"/>
              </w:rPr>
              <w:t>TX Sông Công</w:t>
            </w:r>
          </w:p>
        </w:tc>
        <w:tc>
          <w:tcPr>
            <w:tcW w:w="821" w:type="dxa"/>
          </w:tcPr>
          <w:p w:rsidR="00E16C50" w:rsidRPr="00642EFA" w:rsidRDefault="00E16C50" w:rsidP="00642EFA">
            <w:pPr>
              <w:spacing w:line="280" w:lineRule="exact"/>
              <w:jc w:val="center"/>
              <w:rPr>
                <w:rFonts w:eastAsia="Calibri"/>
                <w:bCs/>
                <w:sz w:val="22"/>
              </w:rPr>
            </w:pPr>
            <w:r w:rsidRPr="00642EFA">
              <w:rPr>
                <w:rFonts w:eastAsia="Calibri"/>
                <w:bCs/>
                <w:sz w:val="22"/>
              </w:rPr>
              <w:t>760</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6,1</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4,20</w:t>
            </w:r>
          </w:p>
        </w:tc>
        <w:tc>
          <w:tcPr>
            <w:tcW w:w="1260" w:type="dxa"/>
          </w:tcPr>
          <w:p w:rsidR="00E16C50" w:rsidRPr="00642EFA" w:rsidRDefault="00E16C50" w:rsidP="00642EFA">
            <w:pPr>
              <w:spacing w:line="280" w:lineRule="exact"/>
              <w:jc w:val="center"/>
              <w:rPr>
                <w:rFonts w:eastAsia="Calibri"/>
                <w:bCs/>
                <w:sz w:val="22"/>
              </w:rPr>
            </w:pPr>
            <w:r w:rsidRPr="00642EFA">
              <w:rPr>
                <w:rFonts w:eastAsia="Calibri"/>
                <w:bCs/>
                <w:sz w:val="22"/>
              </w:rPr>
              <w:t>645</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5,02</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1,08</w:t>
            </w:r>
          </w:p>
        </w:tc>
      </w:tr>
      <w:tr w:rsidR="00E16C50" w:rsidRPr="00916FE2" w:rsidTr="003D371A">
        <w:tc>
          <w:tcPr>
            <w:tcW w:w="2059" w:type="dxa"/>
          </w:tcPr>
          <w:p w:rsidR="00E16C50" w:rsidRPr="00642EFA" w:rsidRDefault="00E16C50" w:rsidP="00642EFA">
            <w:pPr>
              <w:spacing w:line="280" w:lineRule="exact"/>
              <w:jc w:val="center"/>
              <w:rPr>
                <w:rFonts w:eastAsia="Calibri"/>
                <w:bCs/>
                <w:sz w:val="22"/>
              </w:rPr>
            </w:pPr>
            <w:r w:rsidRPr="00642EFA">
              <w:rPr>
                <w:rFonts w:eastAsia="Calibri"/>
                <w:bCs/>
                <w:sz w:val="22"/>
              </w:rPr>
              <w:t>Huyện Định Hóa</w:t>
            </w:r>
          </w:p>
        </w:tc>
        <w:tc>
          <w:tcPr>
            <w:tcW w:w="821" w:type="dxa"/>
          </w:tcPr>
          <w:p w:rsidR="00E16C50" w:rsidRPr="00642EFA" w:rsidRDefault="00E16C50" w:rsidP="00642EFA">
            <w:pPr>
              <w:spacing w:line="280" w:lineRule="exact"/>
              <w:jc w:val="center"/>
              <w:rPr>
                <w:rFonts w:eastAsia="Calibri"/>
                <w:bCs/>
                <w:sz w:val="22"/>
              </w:rPr>
            </w:pPr>
            <w:r w:rsidRPr="00642EFA">
              <w:rPr>
                <w:rFonts w:eastAsia="Calibri"/>
                <w:bCs/>
                <w:sz w:val="22"/>
              </w:rPr>
              <w:t>6.911</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28,01</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5,97</w:t>
            </w:r>
          </w:p>
        </w:tc>
        <w:tc>
          <w:tcPr>
            <w:tcW w:w="1260" w:type="dxa"/>
          </w:tcPr>
          <w:p w:rsidR="00E16C50" w:rsidRPr="00642EFA" w:rsidRDefault="00E16C50" w:rsidP="00642EFA">
            <w:pPr>
              <w:spacing w:line="280" w:lineRule="exact"/>
              <w:jc w:val="center"/>
              <w:rPr>
                <w:rFonts w:eastAsia="Calibri"/>
                <w:bCs/>
                <w:sz w:val="22"/>
              </w:rPr>
            </w:pPr>
            <w:r w:rsidRPr="00642EFA">
              <w:rPr>
                <w:rFonts w:eastAsia="Calibri"/>
                <w:bCs/>
                <w:sz w:val="22"/>
              </w:rPr>
              <w:t>6.191</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24,82</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3,19</w:t>
            </w:r>
          </w:p>
        </w:tc>
      </w:tr>
      <w:tr w:rsidR="00E16C50" w:rsidRPr="00916FE2" w:rsidTr="003D371A">
        <w:tc>
          <w:tcPr>
            <w:tcW w:w="2059" w:type="dxa"/>
          </w:tcPr>
          <w:p w:rsidR="00E16C50" w:rsidRPr="00642EFA" w:rsidRDefault="00E16C50" w:rsidP="00642EFA">
            <w:pPr>
              <w:spacing w:line="280" w:lineRule="exact"/>
              <w:jc w:val="center"/>
              <w:rPr>
                <w:rFonts w:eastAsia="Calibri"/>
                <w:bCs/>
                <w:sz w:val="22"/>
              </w:rPr>
            </w:pPr>
            <w:r w:rsidRPr="00642EFA">
              <w:rPr>
                <w:rFonts w:eastAsia="Calibri"/>
                <w:bCs/>
                <w:sz w:val="22"/>
              </w:rPr>
              <w:t>Huyện Võ Nhai</w:t>
            </w:r>
          </w:p>
        </w:tc>
        <w:tc>
          <w:tcPr>
            <w:tcW w:w="821" w:type="dxa"/>
          </w:tcPr>
          <w:p w:rsidR="00E16C50" w:rsidRPr="00642EFA" w:rsidRDefault="00E16C50" w:rsidP="00642EFA">
            <w:pPr>
              <w:spacing w:line="280" w:lineRule="exact"/>
              <w:jc w:val="center"/>
              <w:rPr>
                <w:rFonts w:eastAsia="Calibri"/>
                <w:bCs/>
                <w:sz w:val="22"/>
              </w:rPr>
            </w:pPr>
            <w:r w:rsidRPr="00642EFA">
              <w:rPr>
                <w:rFonts w:eastAsia="Calibri"/>
                <w:bCs/>
                <w:sz w:val="22"/>
              </w:rPr>
              <w:t>5.986</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36,69</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6,51</w:t>
            </w:r>
          </w:p>
        </w:tc>
        <w:tc>
          <w:tcPr>
            <w:tcW w:w="1260" w:type="dxa"/>
          </w:tcPr>
          <w:p w:rsidR="00E16C50" w:rsidRPr="00642EFA" w:rsidRDefault="00E16C50" w:rsidP="00642EFA">
            <w:pPr>
              <w:spacing w:line="280" w:lineRule="exact"/>
              <w:jc w:val="center"/>
              <w:rPr>
                <w:rFonts w:eastAsia="Calibri"/>
                <w:bCs/>
                <w:sz w:val="22"/>
              </w:rPr>
            </w:pPr>
            <w:r w:rsidRPr="00642EFA">
              <w:rPr>
                <w:rFonts w:eastAsia="Calibri"/>
                <w:bCs/>
                <w:sz w:val="22"/>
              </w:rPr>
              <w:t>5.149</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31,35</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5,34</w:t>
            </w:r>
          </w:p>
        </w:tc>
      </w:tr>
      <w:tr w:rsidR="00E16C50" w:rsidRPr="00916FE2" w:rsidTr="003D371A">
        <w:tc>
          <w:tcPr>
            <w:tcW w:w="2059" w:type="dxa"/>
          </w:tcPr>
          <w:p w:rsidR="00E16C50" w:rsidRPr="00642EFA" w:rsidRDefault="00E16C50" w:rsidP="00642EFA">
            <w:pPr>
              <w:spacing w:line="280" w:lineRule="exact"/>
              <w:jc w:val="center"/>
              <w:rPr>
                <w:rFonts w:eastAsia="Calibri"/>
                <w:bCs/>
                <w:sz w:val="22"/>
              </w:rPr>
            </w:pPr>
            <w:r w:rsidRPr="00642EFA">
              <w:rPr>
                <w:rFonts w:eastAsia="Calibri"/>
                <w:bCs/>
                <w:sz w:val="22"/>
              </w:rPr>
              <w:t>Huyện Phú Lương</w:t>
            </w:r>
          </w:p>
        </w:tc>
        <w:tc>
          <w:tcPr>
            <w:tcW w:w="821" w:type="dxa"/>
          </w:tcPr>
          <w:p w:rsidR="00E16C50" w:rsidRPr="00642EFA" w:rsidRDefault="00E16C50" w:rsidP="00642EFA">
            <w:pPr>
              <w:spacing w:line="280" w:lineRule="exact"/>
              <w:jc w:val="center"/>
              <w:rPr>
                <w:rFonts w:eastAsia="Calibri"/>
                <w:bCs/>
                <w:sz w:val="22"/>
              </w:rPr>
            </w:pPr>
            <w:r w:rsidRPr="00642EFA">
              <w:rPr>
                <w:rFonts w:eastAsia="Calibri"/>
                <w:bCs/>
                <w:sz w:val="22"/>
              </w:rPr>
              <w:t>4.907</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17,3</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4,69</w:t>
            </w:r>
          </w:p>
        </w:tc>
        <w:tc>
          <w:tcPr>
            <w:tcW w:w="1260" w:type="dxa"/>
          </w:tcPr>
          <w:p w:rsidR="00E16C50" w:rsidRPr="00642EFA" w:rsidRDefault="00E16C50" w:rsidP="00642EFA">
            <w:pPr>
              <w:spacing w:line="280" w:lineRule="exact"/>
              <w:jc w:val="center"/>
              <w:rPr>
                <w:rFonts w:eastAsia="Calibri"/>
                <w:bCs/>
                <w:sz w:val="22"/>
              </w:rPr>
            </w:pPr>
            <w:r w:rsidRPr="00642EFA">
              <w:rPr>
                <w:rFonts w:eastAsia="Calibri"/>
                <w:bCs/>
                <w:sz w:val="22"/>
              </w:rPr>
              <w:t>4.054</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13,89</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3,41</w:t>
            </w:r>
          </w:p>
        </w:tc>
      </w:tr>
      <w:tr w:rsidR="00E16C50" w:rsidRPr="00916FE2" w:rsidTr="003D371A">
        <w:tc>
          <w:tcPr>
            <w:tcW w:w="2059" w:type="dxa"/>
          </w:tcPr>
          <w:p w:rsidR="00E16C50" w:rsidRPr="00642EFA" w:rsidRDefault="00E16C50" w:rsidP="00642EFA">
            <w:pPr>
              <w:spacing w:line="280" w:lineRule="exact"/>
              <w:jc w:val="center"/>
              <w:rPr>
                <w:rFonts w:eastAsia="Calibri"/>
                <w:bCs/>
                <w:sz w:val="22"/>
              </w:rPr>
            </w:pPr>
            <w:r w:rsidRPr="00642EFA">
              <w:rPr>
                <w:rFonts w:eastAsia="Calibri"/>
                <w:bCs/>
                <w:sz w:val="22"/>
              </w:rPr>
              <w:t>Huyện Đồng Hỷ</w:t>
            </w:r>
          </w:p>
        </w:tc>
        <w:tc>
          <w:tcPr>
            <w:tcW w:w="821" w:type="dxa"/>
          </w:tcPr>
          <w:p w:rsidR="00E16C50" w:rsidRPr="00642EFA" w:rsidRDefault="00E16C50" w:rsidP="00642EFA">
            <w:pPr>
              <w:spacing w:line="280" w:lineRule="exact"/>
              <w:jc w:val="center"/>
              <w:rPr>
                <w:rFonts w:eastAsia="Calibri"/>
                <w:bCs/>
                <w:sz w:val="22"/>
              </w:rPr>
            </w:pPr>
            <w:r w:rsidRPr="00642EFA">
              <w:rPr>
                <w:rFonts w:eastAsia="Calibri"/>
                <w:bCs/>
                <w:sz w:val="22"/>
              </w:rPr>
              <w:t>5.389</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19,45</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3,43</w:t>
            </w:r>
          </w:p>
        </w:tc>
        <w:tc>
          <w:tcPr>
            <w:tcW w:w="1260" w:type="dxa"/>
          </w:tcPr>
          <w:p w:rsidR="00E16C50" w:rsidRPr="00642EFA" w:rsidRDefault="00E16C50" w:rsidP="00642EFA">
            <w:pPr>
              <w:spacing w:line="280" w:lineRule="exact"/>
              <w:jc w:val="center"/>
              <w:rPr>
                <w:rFonts w:eastAsia="Calibri"/>
                <w:bCs/>
                <w:sz w:val="22"/>
              </w:rPr>
            </w:pPr>
            <w:r w:rsidRPr="00642EFA">
              <w:rPr>
                <w:rFonts w:eastAsia="Calibri"/>
                <w:bCs/>
                <w:sz w:val="22"/>
              </w:rPr>
              <w:t>4.574</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16,18</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3,27</w:t>
            </w:r>
          </w:p>
        </w:tc>
      </w:tr>
      <w:tr w:rsidR="00E16C50" w:rsidRPr="00916FE2" w:rsidTr="003D371A">
        <w:tc>
          <w:tcPr>
            <w:tcW w:w="2059" w:type="dxa"/>
          </w:tcPr>
          <w:p w:rsidR="00E16C50" w:rsidRPr="00642EFA" w:rsidRDefault="00E16C50" w:rsidP="00642EFA">
            <w:pPr>
              <w:spacing w:line="280" w:lineRule="exact"/>
              <w:jc w:val="center"/>
              <w:rPr>
                <w:rFonts w:eastAsia="Calibri"/>
                <w:bCs/>
                <w:sz w:val="22"/>
              </w:rPr>
            </w:pPr>
            <w:r w:rsidRPr="00642EFA">
              <w:rPr>
                <w:rFonts w:eastAsia="Calibri"/>
                <w:bCs/>
                <w:sz w:val="22"/>
              </w:rPr>
              <w:t>Huyện Đại Từ</w:t>
            </w:r>
          </w:p>
        </w:tc>
        <w:tc>
          <w:tcPr>
            <w:tcW w:w="821" w:type="dxa"/>
          </w:tcPr>
          <w:p w:rsidR="00E16C50" w:rsidRPr="00642EFA" w:rsidRDefault="00E16C50" w:rsidP="00642EFA">
            <w:pPr>
              <w:spacing w:line="280" w:lineRule="exact"/>
              <w:jc w:val="center"/>
              <w:rPr>
                <w:rFonts w:eastAsia="Calibri"/>
                <w:bCs/>
                <w:sz w:val="22"/>
              </w:rPr>
            </w:pPr>
            <w:r w:rsidRPr="00642EFA">
              <w:rPr>
                <w:rFonts w:eastAsia="Calibri"/>
                <w:bCs/>
                <w:sz w:val="22"/>
              </w:rPr>
              <w:t>10.782</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23,53</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4,13</w:t>
            </w:r>
          </w:p>
        </w:tc>
        <w:tc>
          <w:tcPr>
            <w:tcW w:w="1260" w:type="dxa"/>
          </w:tcPr>
          <w:p w:rsidR="00E16C50" w:rsidRPr="00642EFA" w:rsidRDefault="00E16C50" w:rsidP="00642EFA">
            <w:pPr>
              <w:spacing w:line="280" w:lineRule="exact"/>
              <w:jc w:val="center"/>
              <w:rPr>
                <w:rFonts w:eastAsia="Calibri"/>
                <w:bCs/>
                <w:sz w:val="22"/>
              </w:rPr>
            </w:pPr>
            <w:r w:rsidRPr="00642EFA">
              <w:rPr>
                <w:rFonts w:eastAsia="Calibri"/>
                <w:bCs/>
                <w:sz w:val="22"/>
              </w:rPr>
              <w:t>9.213</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19,69</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3,84</w:t>
            </w:r>
          </w:p>
        </w:tc>
      </w:tr>
      <w:tr w:rsidR="00E16C50" w:rsidRPr="00916FE2" w:rsidTr="003D371A">
        <w:tc>
          <w:tcPr>
            <w:tcW w:w="2059" w:type="dxa"/>
          </w:tcPr>
          <w:p w:rsidR="00E16C50" w:rsidRPr="00642EFA" w:rsidRDefault="00E16C50" w:rsidP="00642EFA">
            <w:pPr>
              <w:spacing w:line="280" w:lineRule="exact"/>
              <w:jc w:val="center"/>
              <w:rPr>
                <w:rFonts w:eastAsia="Calibri"/>
                <w:bCs/>
                <w:sz w:val="22"/>
              </w:rPr>
            </w:pPr>
            <w:r w:rsidRPr="00642EFA">
              <w:rPr>
                <w:rFonts w:eastAsia="Calibri"/>
                <w:bCs/>
                <w:sz w:val="22"/>
              </w:rPr>
              <w:t>Huyện Phú Bình</w:t>
            </w:r>
          </w:p>
        </w:tc>
        <w:tc>
          <w:tcPr>
            <w:tcW w:w="821" w:type="dxa"/>
          </w:tcPr>
          <w:p w:rsidR="00E16C50" w:rsidRPr="00642EFA" w:rsidRDefault="00E16C50" w:rsidP="00642EFA">
            <w:pPr>
              <w:spacing w:line="280" w:lineRule="exact"/>
              <w:jc w:val="center"/>
              <w:rPr>
                <w:rFonts w:eastAsia="Calibri"/>
                <w:bCs/>
                <w:sz w:val="22"/>
              </w:rPr>
            </w:pPr>
            <w:r w:rsidRPr="00642EFA">
              <w:rPr>
                <w:rFonts w:eastAsia="Calibri"/>
                <w:bCs/>
                <w:sz w:val="22"/>
              </w:rPr>
              <w:t>6.991</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19,67</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5,16</w:t>
            </w:r>
          </w:p>
        </w:tc>
        <w:tc>
          <w:tcPr>
            <w:tcW w:w="1260" w:type="dxa"/>
          </w:tcPr>
          <w:p w:rsidR="00E16C50" w:rsidRPr="00642EFA" w:rsidRDefault="00E16C50" w:rsidP="00642EFA">
            <w:pPr>
              <w:spacing w:line="280" w:lineRule="exact"/>
              <w:jc w:val="center"/>
              <w:rPr>
                <w:rFonts w:eastAsia="Calibri"/>
                <w:bCs/>
                <w:sz w:val="22"/>
              </w:rPr>
            </w:pPr>
            <w:r w:rsidRPr="00642EFA">
              <w:rPr>
                <w:rFonts w:eastAsia="Calibri"/>
                <w:bCs/>
                <w:sz w:val="22"/>
              </w:rPr>
              <w:t>5.764</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16,07</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3,60</w:t>
            </w:r>
          </w:p>
        </w:tc>
      </w:tr>
      <w:tr w:rsidR="00E16C50" w:rsidRPr="00916FE2" w:rsidTr="003D371A">
        <w:tc>
          <w:tcPr>
            <w:tcW w:w="2059" w:type="dxa"/>
          </w:tcPr>
          <w:p w:rsidR="00E16C50" w:rsidRPr="00642EFA" w:rsidRDefault="00E16C50" w:rsidP="00642EFA">
            <w:pPr>
              <w:spacing w:line="280" w:lineRule="exact"/>
              <w:jc w:val="center"/>
              <w:rPr>
                <w:rFonts w:eastAsia="Calibri"/>
                <w:bCs/>
                <w:sz w:val="22"/>
              </w:rPr>
            </w:pPr>
            <w:r w:rsidRPr="00642EFA">
              <w:rPr>
                <w:rFonts w:eastAsia="Calibri"/>
                <w:bCs/>
                <w:sz w:val="22"/>
              </w:rPr>
              <w:t>Huyện Phổ Yên</w:t>
            </w:r>
          </w:p>
        </w:tc>
        <w:tc>
          <w:tcPr>
            <w:tcW w:w="821" w:type="dxa"/>
          </w:tcPr>
          <w:p w:rsidR="00E16C50" w:rsidRPr="00642EFA" w:rsidRDefault="00E16C50" w:rsidP="00642EFA">
            <w:pPr>
              <w:spacing w:line="280" w:lineRule="exact"/>
              <w:jc w:val="center"/>
              <w:rPr>
                <w:rFonts w:eastAsia="Calibri"/>
                <w:bCs/>
                <w:sz w:val="22"/>
              </w:rPr>
            </w:pPr>
            <w:r w:rsidRPr="00642EFA">
              <w:rPr>
                <w:rFonts w:eastAsia="Calibri"/>
                <w:bCs/>
                <w:sz w:val="22"/>
              </w:rPr>
              <w:t>4.572</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12,64</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4,36</w:t>
            </w:r>
          </w:p>
        </w:tc>
        <w:tc>
          <w:tcPr>
            <w:tcW w:w="1260" w:type="dxa"/>
          </w:tcPr>
          <w:p w:rsidR="00E16C50" w:rsidRPr="00642EFA" w:rsidRDefault="00E16C50" w:rsidP="00642EFA">
            <w:pPr>
              <w:spacing w:line="280" w:lineRule="exact"/>
              <w:jc w:val="center"/>
              <w:rPr>
                <w:rFonts w:eastAsia="Calibri"/>
                <w:bCs/>
                <w:sz w:val="22"/>
              </w:rPr>
            </w:pPr>
            <w:r w:rsidRPr="00642EFA">
              <w:rPr>
                <w:rFonts w:eastAsia="Calibri"/>
                <w:bCs/>
                <w:sz w:val="22"/>
              </w:rPr>
              <w:t>3.366</w:t>
            </w:r>
          </w:p>
        </w:tc>
        <w:tc>
          <w:tcPr>
            <w:tcW w:w="1170" w:type="dxa"/>
          </w:tcPr>
          <w:p w:rsidR="00E16C50" w:rsidRPr="00642EFA" w:rsidRDefault="00E16C50" w:rsidP="00642EFA">
            <w:pPr>
              <w:spacing w:line="280" w:lineRule="exact"/>
              <w:jc w:val="center"/>
              <w:rPr>
                <w:rFonts w:eastAsia="Calibri"/>
                <w:bCs/>
                <w:sz w:val="22"/>
              </w:rPr>
            </w:pPr>
            <w:r w:rsidRPr="00642EFA">
              <w:rPr>
                <w:rFonts w:eastAsia="Calibri"/>
                <w:bCs/>
                <w:sz w:val="22"/>
              </w:rPr>
              <w:t>9,03</w:t>
            </w:r>
          </w:p>
        </w:tc>
        <w:tc>
          <w:tcPr>
            <w:tcW w:w="1530" w:type="dxa"/>
          </w:tcPr>
          <w:p w:rsidR="00E16C50" w:rsidRPr="00642EFA" w:rsidRDefault="00E16C50" w:rsidP="00642EFA">
            <w:pPr>
              <w:spacing w:line="280" w:lineRule="exact"/>
              <w:jc w:val="center"/>
              <w:rPr>
                <w:rFonts w:eastAsia="Calibri"/>
                <w:bCs/>
                <w:sz w:val="22"/>
              </w:rPr>
            </w:pPr>
            <w:r w:rsidRPr="00642EFA">
              <w:rPr>
                <w:rFonts w:eastAsia="Calibri"/>
                <w:bCs/>
                <w:sz w:val="22"/>
              </w:rPr>
              <w:t>3,61</w:t>
            </w:r>
          </w:p>
        </w:tc>
      </w:tr>
    </w:tbl>
    <w:p w:rsidR="00E16C50" w:rsidRPr="00916FE2" w:rsidRDefault="00E16C50" w:rsidP="00E16C50">
      <w:pPr>
        <w:tabs>
          <w:tab w:val="left" w:pos="6915"/>
        </w:tabs>
        <w:spacing w:line="360" w:lineRule="auto"/>
        <w:ind w:firstLine="720"/>
        <w:jc w:val="center"/>
        <w:rPr>
          <w:color w:val="000000"/>
          <w:sz w:val="22"/>
          <w:szCs w:val="22"/>
          <w:lang w:val="it-IT"/>
        </w:rPr>
      </w:pPr>
      <w:r>
        <w:rPr>
          <w:i/>
          <w:color w:val="000000"/>
          <w:sz w:val="22"/>
          <w:szCs w:val="22"/>
          <w:lang w:val="it-IT"/>
        </w:rPr>
        <w:t>Nguồn: [5</w:t>
      </w:r>
      <w:r w:rsidRPr="00916FE2">
        <w:rPr>
          <w:i/>
          <w:color w:val="000000"/>
          <w:sz w:val="22"/>
          <w:szCs w:val="22"/>
          <w:lang w:val="it-IT"/>
        </w:rPr>
        <w:t>, tr.254</w:t>
      </w:r>
      <w:r>
        <w:rPr>
          <w:i/>
          <w:color w:val="000000"/>
          <w:sz w:val="22"/>
          <w:szCs w:val="22"/>
          <w:lang w:val="it-IT"/>
        </w:rPr>
        <w:t xml:space="preserve"> và tính toán của tác giả</w:t>
      </w:r>
      <w:r w:rsidRPr="00916FE2">
        <w:rPr>
          <w:i/>
          <w:color w:val="000000"/>
          <w:sz w:val="22"/>
          <w:szCs w:val="22"/>
          <w:lang w:val="it-IT"/>
        </w:rPr>
        <w:t>]</w:t>
      </w:r>
    </w:p>
    <w:p w:rsidR="00E16C50" w:rsidRDefault="00E16C50" w:rsidP="00E16C50">
      <w:pPr>
        <w:spacing w:line="360" w:lineRule="auto"/>
        <w:jc w:val="both"/>
        <w:rPr>
          <w:color w:val="000000"/>
          <w:sz w:val="22"/>
          <w:szCs w:val="22"/>
          <w:lang w:val="it-IT"/>
        </w:rPr>
        <w:sectPr w:rsidR="00E16C50" w:rsidSect="00601C0A">
          <w:type w:val="continuous"/>
          <w:pgSz w:w="12240" w:h="15840"/>
          <w:pgMar w:top="1440" w:right="1440" w:bottom="1440" w:left="1440" w:header="720" w:footer="720" w:gutter="0"/>
          <w:cols w:space="720"/>
          <w:docGrid w:linePitch="360"/>
        </w:sectPr>
      </w:pPr>
    </w:p>
    <w:p w:rsidR="00E16C50" w:rsidRPr="00642EFA" w:rsidRDefault="00E16C50" w:rsidP="00642EFA">
      <w:pPr>
        <w:spacing w:line="280" w:lineRule="exact"/>
        <w:ind w:firstLine="340"/>
        <w:jc w:val="both"/>
        <w:rPr>
          <w:rFonts w:eastAsia="Calibri"/>
          <w:spacing w:val="2"/>
          <w:sz w:val="22"/>
        </w:rPr>
      </w:pPr>
      <w:r w:rsidRPr="00642EFA">
        <w:rPr>
          <w:rFonts w:eastAsia="Calibri"/>
          <w:spacing w:val="2"/>
          <w:sz w:val="22"/>
        </w:rPr>
        <w:lastRenderedPageBreak/>
        <w:t xml:space="preserve">Trong những năm qua, tỉnh Thái Nguyên đã triển khai đồng bộ các chương trình giảm </w:t>
      </w:r>
      <w:r w:rsidRPr="00642EFA">
        <w:rPr>
          <w:rFonts w:eastAsia="Calibri"/>
          <w:spacing w:val="2"/>
          <w:sz w:val="22"/>
        </w:rPr>
        <w:lastRenderedPageBreak/>
        <w:t xml:space="preserve">nghèo, giải quyết việc làm và các chính sách xã hội: tổ chức đào tạo nâng cao năng lực cho cán </w:t>
      </w:r>
      <w:r w:rsidRPr="00642EFA">
        <w:rPr>
          <w:rFonts w:eastAsia="Calibri"/>
          <w:spacing w:val="2"/>
          <w:sz w:val="22"/>
        </w:rPr>
        <w:lastRenderedPageBreak/>
        <w:t>bộ làm công tác xoá đói giảm nghèo trên cả 3 cấp tỉnh - huyện, xã và thôn bản. Thực hiện chính sách tín dụng ưu đãi hộ nghèo. Theo chuẩn nghèo mới: năm 2011 tỷ lệ hộ nghèo trên toàn tỉnh là 16,69%, đến năm 2012 đã giảm xuống còn 13,76% [3, tr.24]. Tuy nhiên, nhìn vào Bảng số liệu trên ta thấy, tỷ lệ hộ nghèo giữa các địa phương trong tỉnh chênh lệch khá lớn: Năm 2012, địa phương có tỷ lệ hộ nghèo thấp nhất là TP Thái Nguyên (3,11%), cao nhất là Huyện Võ Nhai (31,35%), gấp hơn 10 lần TP Thái Nguyên. Điều này lý giải tình trạng chuyển dịch lao động tại các Huyện nghèo ra khu vực thành phố tìm việc làm gia tăng trong những năm gần đây. Do vậy, để thực hiện tốt chuyển dịch cơ cấu kinh tế theo hướng phát triển bền vững, cần thực hiện tốt công tác giảm nghèo, từng bước nâng cao đời sống người dân nông thôn, miền núi, từng bươc ổn định cuộc sống cũng như sự ổn định về kinh tế, xã hội tại các địa phương.</w:t>
      </w:r>
    </w:p>
    <w:p w:rsidR="00E16C50" w:rsidRPr="00642EFA" w:rsidRDefault="00E16C50" w:rsidP="00642EFA">
      <w:pPr>
        <w:spacing w:line="280" w:lineRule="exact"/>
        <w:ind w:firstLine="340"/>
        <w:jc w:val="both"/>
        <w:rPr>
          <w:rFonts w:eastAsia="Calibri"/>
          <w:spacing w:val="2"/>
          <w:sz w:val="22"/>
        </w:rPr>
      </w:pPr>
      <w:r w:rsidRPr="00642EFA">
        <w:rPr>
          <w:rFonts w:eastAsia="Calibri"/>
          <w:spacing w:val="2"/>
          <w:sz w:val="22"/>
        </w:rPr>
        <w:t xml:space="preserve">Giai đoạn 2006 – 2012, hoạt động tạo việc làm trên địa bàn tỉnh đạt được nhiều kết quả khả quan, năm 2006 giải quyết được 14.800 việc làm mới, đến năm 2012, con số này đã tăng lên đạt 22.612, bình quân mỗi năm giải quyết được 17.737 việc làm mới [3, tr.29] vượt mục tiêu đề ra (giải quyết việc làm mới bình </w:t>
      </w:r>
      <w:r w:rsidRPr="00642EFA">
        <w:rPr>
          <w:rFonts w:eastAsia="Calibri"/>
          <w:spacing w:val="2"/>
          <w:sz w:val="22"/>
        </w:rPr>
        <w:lastRenderedPageBreak/>
        <w:t>quân hàng năm cho 15.000 lao động/năm trong giai đoạn 2011-2015) [3, tr.21]. Sự thành công trong công tác tạo việc làm góp phần quan trọng trong việc giảm tỷ lệ hộ nghèo trên địa bàn tỉnh (năm 2011, tỷ lệ giảm hộ nghèo trong năm đạt 3,88%, năm 2012 đạt 2,93%).</w:t>
      </w:r>
    </w:p>
    <w:p w:rsidR="00E16C50" w:rsidRDefault="00E16C50" w:rsidP="00642EFA">
      <w:pPr>
        <w:spacing w:line="280" w:lineRule="exact"/>
        <w:ind w:firstLine="340"/>
        <w:jc w:val="both"/>
        <w:rPr>
          <w:rFonts w:eastAsia="Calibri"/>
          <w:spacing w:val="2"/>
          <w:sz w:val="22"/>
        </w:rPr>
      </w:pPr>
      <w:r w:rsidRPr="00642EFA">
        <w:rPr>
          <w:rFonts w:eastAsia="Calibri"/>
          <w:spacing w:val="2"/>
          <w:sz w:val="22"/>
        </w:rPr>
        <w:t xml:space="preserve"> Tuy nhiên, tình trạng tỷ lệ hộ nghèo giảm mạnh thường diễn ra tại các khu vực đô thị phát triển: TP Thái Nguyên, TX Sông Công. Các huyện còn lại tỷ lệ này giảm không đáng kể.  Bên cạnh đó, do chất l</w:t>
      </w:r>
      <w:r w:rsidRPr="00642EFA">
        <w:rPr>
          <w:rFonts w:eastAsia="Calibri" w:hint="eastAsia"/>
          <w:spacing w:val="2"/>
          <w:sz w:val="22"/>
        </w:rPr>
        <w:t>ư</w:t>
      </w:r>
      <w:r w:rsidRPr="00642EFA">
        <w:rPr>
          <w:rFonts w:eastAsia="Calibri"/>
          <w:spacing w:val="2"/>
          <w:sz w:val="22"/>
        </w:rPr>
        <w:t xml:space="preserve">ợng lao </w:t>
      </w:r>
      <w:r w:rsidRPr="00642EFA">
        <w:rPr>
          <w:rFonts w:eastAsia="Calibri" w:hint="eastAsia"/>
          <w:spacing w:val="2"/>
          <w:sz w:val="22"/>
        </w:rPr>
        <w:t>đ</w:t>
      </w:r>
      <w:r w:rsidRPr="00642EFA">
        <w:rPr>
          <w:rFonts w:eastAsia="Calibri"/>
          <w:spacing w:val="2"/>
          <w:sz w:val="22"/>
        </w:rPr>
        <w:t xml:space="preserve">ộng trên địa bàn tỉnh không </w:t>
      </w:r>
      <w:r w:rsidRPr="00642EFA">
        <w:rPr>
          <w:rFonts w:eastAsia="Calibri" w:hint="eastAsia"/>
          <w:spacing w:val="2"/>
          <w:sz w:val="22"/>
        </w:rPr>
        <w:t>đ</w:t>
      </w:r>
      <w:r w:rsidRPr="00642EFA">
        <w:rPr>
          <w:rFonts w:eastAsia="Calibri"/>
          <w:spacing w:val="2"/>
          <w:sz w:val="22"/>
        </w:rPr>
        <w:t xml:space="preserve">ồng </w:t>
      </w:r>
      <w:r w:rsidRPr="00642EFA">
        <w:rPr>
          <w:rFonts w:eastAsia="Calibri" w:hint="eastAsia"/>
          <w:spacing w:val="2"/>
          <w:sz w:val="22"/>
        </w:rPr>
        <w:t>đ</w:t>
      </w:r>
      <w:r w:rsidRPr="00642EFA">
        <w:rPr>
          <w:rFonts w:eastAsia="Calibri"/>
          <w:spacing w:val="2"/>
          <w:sz w:val="22"/>
        </w:rPr>
        <w:t xml:space="preserve">ều </w:t>
      </w:r>
      <w:r w:rsidRPr="00642EFA">
        <w:rPr>
          <w:rFonts w:eastAsia="Calibri" w:hint="eastAsia"/>
          <w:spacing w:val="2"/>
          <w:sz w:val="22"/>
        </w:rPr>
        <w:t>đ</w:t>
      </w:r>
      <w:r w:rsidRPr="00642EFA">
        <w:rPr>
          <w:rFonts w:eastAsia="Calibri"/>
          <w:spacing w:val="2"/>
          <w:sz w:val="22"/>
        </w:rPr>
        <w:t xml:space="preserve">ã dẫn </w:t>
      </w:r>
      <w:r w:rsidRPr="00642EFA">
        <w:rPr>
          <w:rFonts w:eastAsia="Calibri" w:hint="eastAsia"/>
          <w:spacing w:val="2"/>
          <w:sz w:val="22"/>
        </w:rPr>
        <w:t>đ</w:t>
      </w:r>
      <w:r w:rsidRPr="00642EFA">
        <w:rPr>
          <w:rFonts w:eastAsia="Calibri"/>
          <w:spacing w:val="2"/>
          <w:sz w:val="22"/>
        </w:rPr>
        <w:t xml:space="preserve">ến tình trạng bất bình </w:t>
      </w:r>
      <w:r w:rsidRPr="00642EFA">
        <w:rPr>
          <w:rFonts w:eastAsia="Calibri" w:hint="eastAsia"/>
          <w:spacing w:val="2"/>
          <w:sz w:val="22"/>
        </w:rPr>
        <w:t>đ</w:t>
      </w:r>
      <w:r w:rsidRPr="00642EFA">
        <w:rPr>
          <w:rFonts w:eastAsia="Calibri"/>
          <w:spacing w:val="2"/>
          <w:sz w:val="22"/>
        </w:rPr>
        <w:t>ẳng về thu nhập ngày càng cao giữa các ngành nghề và giữa nông thôn với thành thị; trong khi mạng l</w:t>
      </w:r>
      <w:r w:rsidRPr="00642EFA">
        <w:rPr>
          <w:rFonts w:eastAsia="Calibri" w:hint="eastAsia"/>
          <w:spacing w:val="2"/>
          <w:sz w:val="22"/>
        </w:rPr>
        <w:t>ư</w:t>
      </w:r>
      <w:r w:rsidRPr="00642EFA">
        <w:rPr>
          <w:rFonts w:eastAsia="Calibri"/>
          <w:spacing w:val="2"/>
          <w:sz w:val="22"/>
        </w:rPr>
        <w:t xml:space="preserve">ới bảo </w:t>
      </w:r>
      <w:r w:rsidRPr="00642EFA">
        <w:rPr>
          <w:rFonts w:eastAsia="Calibri" w:hint="eastAsia"/>
          <w:spacing w:val="2"/>
          <w:sz w:val="22"/>
        </w:rPr>
        <w:t>đ</w:t>
      </w:r>
      <w:r w:rsidRPr="00642EFA">
        <w:rPr>
          <w:rFonts w:eastAsia="Calibri"/>
          <w:spacing w:val="2"/>
          <w:sz w:val="22"/>
        </w:rPr>
        <w:t>ảm an sinh xã hội còn non kém. Điều này đòi hỏi chính sách giảm nghèo trên địa bàn tỉnh một mặt, cần chú trọng nhiều hơn nữa đến các huyện khó khăn, giảm chênh lệch mức sống giữa các tầng lớp dân cư, từng bước tạo sự phát triển đồng đều giữa các khu vực trên địa bàn tỉnh, nhằm thực hiện mục tiêu phát triển bền vững. Mặt khác, phải hết sức chú ý đến công tác đào tạo nghề, nâng cao trình độ tay nghề nhằm tăng khả năng thích ứng, thực hiện các công việc đòi hỏi trình độ tay nghề cao, đặc biệt trong điều kiện thu hút FDI của tỉnh Thái Nguyên thời gian gần đây đạt được nhiều kết quả khả quan.</w:t>
      </w:r>
    </w:p>
    <w:p w:rsidR="00C678DA" w:rsidRPr="00642EFA" w:rsidRDefault="00C678DA" w:rsidP="00642EFA">
      <w:pPr>
        <w:spacing w:line="280" w:lineRule="exact"/>
        <w:ind w:firstLine="340"/>
        <w:jc w:val="both"/>
        <w:rPr>
          <w:rFonts w:eastAsia="Calibri"/>
          <w:spacing w:val="2"/>
          <w:sz w:val="22"/>
        </w:rPr>
        <w:sectPr w:rsidR="00C678DA" w:rsidRPr="00642EFA" w:rsidSect="00AC6FD7">
          <w:type w:val="continuous"/>
          <w:pgSz w:w="12240" w:h="15840"/>
          <w:pgMar w:top="1440" w:right="1440" w:bottom="1440" w:left="1440" w:header="720" w:footer="720" w:gutter="0"/>
          <w:cols w:num="2" w:space="720"/>
          <w:docGrid w:linePitch="360"/>
        </w:sectPr>
      </w:pPr>
    </w:p>
    <w:p w:rsidR="00E16C50" w:rsidRPr="00567C67" w:rsidRDefault="00E16C50" w:rsidP="00E16C50">
      <w:pPr>
        <w:spacing w:before="40" w:after="40" w:line="360" w:lineRule="auto"/>
        <w:jc w:val="both"/>
        <w:rPr>
          <w:b/>
          <w:color w:val="000000"/>
          <w:sz w:val="22"/>
          <w:szCs w:val="22"/>
          <w:lang w:val="it-IT"/>
        </w:rPr>
      </w:pPr>
      <w:r>
        <w:rPr>
          <w:b/>
          <w:i/>
          <w:color w:val="000000"/>
          <w:sz w:val="22"/>
          <w:szCs w:val="22"/>
          <w:lang w:val="it-IT"/>
        </w:rPr>
        <w:lastRenderedPageBreak/>
        <w:t xml:space="preserve">* </w:t>
      </w:r>
      <w:r w:rsidRPr="00567C67">
        <w:rPr>
          <w:b/>
          <w:i/>
          <w:color w:val="000000"/>
          <w:sz w:val="22"/>
          <w:szCs w:val="22"/>
          <w:lang w:val="it-IT"/>
        </w:rPr>
        <w:t>Sự chênh lệch thu nhập giữa các tầng lớp dân cư trong xã hội</w:t>
      </w:r>
    </w:p>
    <w:p w:rsidR="00E16C50" w:rsidRDefault="00E16C50" w:rsidP="00E16C50">
      <w:pPr>
        <w:spacing w:line="360" w:lineRule="auto"/>
        <w:jc w:val="both"/>
        <w:rPr>
          <w:b/>
          <w:i/>
          <w:color w:val="000000"/>
          <w:sz w:val="22"/>
          <w:szCs w:val="22"/>
          <w:lang w:val="it-IT"/>
        </w:rPr>
        <w:sectPr w:rsidR="00E16C50" w:rsidSect="00642EFA">
          <w:type w:val="continuous"/>
          <w:pgSz w:w="12240" w:h="15840"/>
          <w:pgMar w:top="1440" w:right="1440" w:bottom="1440" w:left="1440" w:header="720" w:footer="720" w:gutter="0"/>
          <w:cols w:num="2" w:space="720"/>
          <w:docGrid w:linePitch="360"/>
        </w:sectPr>
      </w:pPr>
    </w:p>
    <w:p w:rsidR="00FD6C2D" w:rsidRDefault="00FD6C2D">
      <w:pPr>
        <w:spacing w:after="200" w:line="276" w:lineRule="auto"/>
        <w:rPr>
          <w:b/>
          <w:color w:val="000000"/>
          <w:sz w:val="22"/>
          <w:szCs w:val="22"/>
          <w:lang w:val="it-IT"/>
        </w:rPr>
      </w:pPr>
      <w:r>
        <w:rPr>
          <w:b/>
          <w:color w:val="000000"/>
          <w:sz w:val="22"/>
          <w:szCs w:val="22"/>
          <w:lang w:val="it-IT"/>
        </w:rPr>
        <w:lastRenderedPageBreak/>
        <w:br w:type="page"/>
      </w:r>
    </w:p>
    <w:p w:rsidR="00E16C50" w:rsidRDefault="00642EFA" w:rsidP="00E16C50">
      <w:pPr>
        <w:spacing w:line="360" w:lineRule="auto"/>
        <w:jc w:val="center"/>
        <w:rPr>
          <w:b/>
          <w:color w:val="000000"/>
          <w:sz w:val="22"/>
          <w:szCs w:val="22"/>
          <w:lang w:val="it-IT"/>
        </w:rPr>
      </w:pPr>
      <w:r>
        <w:rPr>
          <w:b/>
          <w:color w:val="000000"/>
          <w:sz w:val="22"/>
          <w:szCs w:val="22"/>
          <w:lang w:val="it-IT"/>
        </w:rPr>
        <w:lastRenderedPageBreak/>
        <w:t>Bảng 4</w:t>
      </w:r>
      <w:r w:rsidR="00E16C50" w:rsidRPr="00A23C40">
        <w:rPr>
          <w:b/>
          <w:color w:val="000000"/>
          <w:sz w:val="22"/>
          <w:szCs w:val="22"/>
          <w:lang w:val="it-IT"/>
        </w:rPr>
        <w:t xml:space="preserve">: Chỉ tiêu phản ánh sự chênh lệch mức sống giữa các tầng lớp dân cư trên địa bàn </w:t>
      </w:r>
    </w:p>
    <w:p w:rsidR="00E16C50" w:rsidRPr="00A23C40" w:rsidRDefault="00E16C50" w:rsidP="00E16C50">
      <w:pPr>
        <w:spacing w:line="360" w:lineRule="auto"/>
        <w:jc w:val="center"/>
        <w:rPr>
          <w:b/>
          <w:color w:val="000000"/>
          <w:sz w:val="22"/>
          <w:szCs w:val="22"/>
          <w:lang w:val="it-IT"/>
        </w:rPr>
      </w:pPr>
      <w:r w:rsidRPr="00A23C40">
        <w:rPr>
          <w:b/>
          <w:color w:val="000000"/>
          <w:sz w:val="22"/>
          <w:szCs w:val="22"/>
          <w:lang w:val="it-IT"/>
        </w:rPr>
        <w:t>tỉnh Thái Nguyên</w:t>
      </w:r>
    </w:p>
    <w:p w:rsidR="00E16C50" w:rsidRPr="00916FE2" w:rsidRDefault="00E16C50" w:rsidP="00E16C50">
      <w:pPr>
        <w:spacing w:line="360" w:lineRule="auto"/>
        <w:jc w:val="right"/>
        <w:rPr>
          <w:i/>
          <w:color w:val="000000"/>
          <w:sz w:val="22"/>
          <w:szCs w:val="22"/>
          <w:lang w:val="it-IT"/>
        </w:rPr>
      </w:pPr>
      <w:r w:rsidRPr="00916FE2">
        <w:rPr>
          <w:i/>
          <w:color w:val="000000"/>
          <w:sz w:val="22"/>
          <w:szCs w:val="22"/>
          <w:lang w:val="it-IT"/>
        </w:rPr>
        <w:t>Đơn vị tính: nghìn đồng, lần</w:t>
      </w:r>
    </w:p>
    <w:tbl>
      <w:tblPr>
        <w:tblStyle w:val="TableGrid"/>
        <w:tblW w:w="9720" w:type="dxa"/>
        <w:tblInd w:w="-72" w:type="dxa"/>
        <w:tblLook w:val="01E0"/>
      </w:tblPr>
      <w:tblGrid>
        <w:gridCol w:w="4083"/>
        <w:gridCol w:w="985"/>
        <w:gridCol w:w="900"/>
        <w:gridCol w:w="988"/>
        <w:gridCol w:w="876"/>
        <w:gridCol w:w="900"/>
        <w:gridCol w:w="988"/>
      </w:tblGrid>
      <w:tr w:rsidR="00E16C50" w:rsidRPr="00916FE2" w:rsidTr="003D371A">
        <w:tc>
          <w:tcPr>
            <w:tcW w:w="4140" w:type="dxa"/>
          </w:tcPr>
          <w:p w:rsidR="00E16C50" w:rsidRPr="00916FE2" w:rsidRDefault="00E16C50" w:rsidP="003D371A">
            <w:pPr>
              <w:spacing w:line="360" w:lineRule="auto"/>
              <w:jc w:val="both"/>
              <w:rPr>
                <w:color w:val="000000"/>
                <w:sz w:val="22"/>
                <w:szCs w:val="22"/>
                <w:lang w:val="it-IT"/>
              </w:rPr>
            </w:pPr>
          </w:p>
        </w:tc>
        <w:tc>
          <w:tcPr>
            <w:tcW w:w="990" w:type="dxa"/>
          </w:tcPr>
          <w:p w:rsidR="00E16C50" w:rsidRPr="00916FE2" w:rsidRDefault="00E16C50" w:rsidP="003D371A">
            <w:pPr>
              <w:spacing w:line="360" w:lineRule="auto"/>
              <w:jc w:val="both"/>
              <w:rPr>
                <w:color w:val="000000"/>
                <w:sz w:val="22"/>
                <w:szCs w:val="22"/>
                <w:lang w:val="it-IT"/>
              </w:rPr>
            </w:pPr>
            <w:r w:rsidRPr="00916FE2">
              <w:rPr>
                <w:color w:val="000000"/>
                <w:sz w:val="22"/>
                <w:szCs w:val="22"/>
                <w:lang w:val="it-IT"/>
              </w:rPr>
              <w:t>2006</w:t>
            </w:r>
          </w:p>
        </w:tc>
        <w:tc>
          <w:tcPr>
            <w:tcW w:w="900" w:type="dxa"/>
          </w:tcPr>
          <w:p w:rsidR="00E16C50" w:rsidRPr="00916FE2" w:rsidRDefault="00E16C50" w:rsidP="003D371A">
            <w:pPr>
              <w:spacing w:line="360" w:lineRule="auto"/>
              <w:jc w:val="both"/>
              <w:rPr>
                <w:color w:val="000000"/>
                <w:sz w:val="22"/>
                <w:szCs w:val="22"/>
                <w:lang w:val="it-IT"/>
              </w:rPr>
            </w:pPr>
            <w:r w:rsidRPr="00916FE2">
              <w:rPr>
                <w:color w:val="000000"/>
                <w:sz w:val="22"/>
                <w:szCs w:val="22"/>
                <w:lang w:val="it-IT"/>
              </w:rPr>
              <w:t>2007</w:t>
            </w:r>
          </w:p>
        </w:tc>
        <w:tc>
          <w:tcPr>
            <w:tcW w:w="990" w:type="dxa"/>
          </w:tcPr>
          <w:p w:rsidR="00E16C50" w:rsidRPr="00916FE2" w:rsidRDefault="00E16C50" w:rsidP="003D371A">
            <w:pPr>
              <w:spacing w:line="360" w:lineRule="auto"/>
              <w:jc w:val="both"/>
              <w:rPr>
                <w:color w:val="000000"/>
                <w:sz w:val="22"/>
                <w:szCs w:val="22"/>
                <w:lang w:val="it-IT"/>
              </w:rPr>
            </w:pPr>
            <w:r w:rsidRPr="00916FE2">
              <w:rPr>
                <w:color w:val="000000"/>
                <w:sz w:val="22"/>
                <w:szCs w:val="22"/>
                <w:lang w:val="it-IT"/>
              </w:rPr>
              <w:t>2008</w:t>
            </w:r>
          </w:p>
        </w:tc>
        <w:tc>
          <w:tcPr>
            <w:tcW w:w="810" w:type="dxa"/>
          </w:tcPr>
          <w:p w:rsidR="00E16C50" w:rsidRPr="00916FE2" w:rsidRDefault="00E16C50" w:rsidP="003D371A">
            <w:pPr>
              <w:spacing w:line="360" w:lineRule="auto"/>
              <w:jc w:val="both"/>
              <w:rPr>
                <w:color w:val="000000"/>
                <w:sz w:val="22"/>
                <w:szCs w:val="22"/>
                <w:lang w:val="it-IT"/>
              </w:rPr>
            </w:pPr>
            <w:r w:rsidRPr="00916FE2">
              <w:rPr>
                <w:color w:val="000000"/>
                <w:sz w:val="22"/>
                <w:szCs w:val="22"/>
                <w:lang w:val="it-IT"/>
              </w:rPr>
              <w:t>2009</w:t>
            </w:r>
          </w:p>
        </w:tc>
        <w:tc>
          <w:tcPr>
            <w:tcW w:w="900" w:type="dxa"/>
          </w:tcPr>
          <w:p w:rsidR="00E16C50" w:rsidRPr="00916FE2" w:rsidRDefault="00E16C50" w:rsidP="003D371A">
            <w:pPr>
              <w:spacing w:line="360" w:lineRule="auto"/>
              <w:jc w:val="both"/>
              <w:rPr>
                <w:color w:val="000000"/>
                <w:sz w:val="22"/>
                <w:szCs w:val="22"/>
                <w:lang w:val="it-IT"/>
              </w:rPr>
            </w:pPr>
            <w:r w:rsidRPr="00916FE2">
              <w:rPr>
                <w:color w:val="000000"/>
                <w:sz w:val="22"/>
                <w:szCs w:val="22"/>
                <w:lang w:val="it-IT"/>
              </w:rPr>
              <w:t>2010</w:t>
            </w:r>
          </w:p>
        </w:tc>
        <w:tc>
          <w:tcPr>
            <w:tcW w:w="990" w:type="dxa"/>
          </w:tcPr>
          <w:p w:rsidR="00E16C50" w:rsidRPr="00916FE2" w:rsidRDefault="00E16C50" w:rsidP="003D371A">
            <w:pPr>
              <w:spacing w:line="360" w:lineRule="auto"/>
              <w:jc w:val="both"/>
              <w:rPr>
                <w:color w:val="000000"/>
                <w:sz w:val="22"/>
                <w:szCs w:val="22"/>
                <w:lang w:val="it-IT"/>
              </w:rPr>
            </w:pPr>
            <w:r w:rsidRPr="00916FE2">
              <w:rPr>
                <w:color w:val="000000"/>
                <w:sz w:val="22"/>
                <w:szCs w:val="22"/>
                <w:lang w:val="it-IT"/>
              </w:rPr>
              <w:t>2011</w:t>
            </w:r>
          </w:p>
        </w:tc>
      </w:tr>
      <w:tr w:rsidR="00E16C50" w:rsidRPr="00916FE2" w:rsidTr="003D371A">
        <w:tc>
          <w:tcPr>
            <w:tcW w:w="4140" w:type="dxa"/>
          </w:tcPr>
          <w:p w:rsidR="00E16C50" w:rsidRPr="00916FE2" w:rsidRDefault="00E16C50" w:rsidP="003D371A">
            <w:pPr>
              <w:spacing w:line="360" w:lineRule="auto"/>
              <w:jc w:val="both"/>
              <w:rPr>
                <w:b/>
                <w:color w:val="000000"/>
                <w:sz w:val="22"/>
                <w:szCs w:val="22"/>
                <w:lang w:val="it-IT"/>
              </w:rPr>
            </w:pPr>
            <w:r w:rsidRPr="00916FE2">
              <w:rPr>
                <w:b/>
                <w:color w:val="000000"/>
                <w:sz w:val="22"/>
                <w:szCs w:val="22"/>
                <w:lang w:val="it-IT"/>
              </w:rPr>
              <w:t>Phân theo thành thị, nông thôn</w:t>
            </w:r>
          </w:p>
        </w:tc>
        <w:tc>
          <w:tcPr>
            <w:tcW w:w="990" w:type="dxa"/>
          </w:tcPr>
          <w:p w:rsidR="00E16C50" w:rsidRPr="00916FE2" w:rsidRDefault="00E16C50" w:rsidP="003D371A">
            <w:pPr>
              <w:spacing w:line="360" w:lineRule="auto"/>
              <w:jc w:val="both"/>
              <w:rPr>
                <w:color w:val="000000"/>
                <w:sz w:val="22"/>
                <w:szCs w:val="22"/>
                <w:lang w:val="it-IT"/>
              </w:rPr>
            </w:pPr>
          </w:p>
        </w:tc>
        <w:tc>
          <w:tcPr>
            <w:tcW w:w="900" w:type="dxa"/>
          </w:tcPr>
          <w:p w:rsidR="00E16C50" w:rsidRPr="00916FE2" w:rsidRDefault="00E16C50" w:rsidP="003D371A">
            <w:pPr>
              <w:spacing w:line="360" w:lineRule="auto"/>
              <w:jc w:val="both"/>
              <w:rPr>
                <w:color w:val="000000"/>
                <w:sz w:val="22"/>
                <w:szCs w:val="22"/>
                <w:lang w:val="it-IT"/>
              </w:rPr>
            </w:pPr>
          </w:p>
        </w:tc>
        <w:tc>
          <w:tcPr>
            <w:tcW w:w="990" w:type="dxa"/>
          </w:tcPr>
          <w:p w:rsidR="00E16C50" w:rsidRPr="00916FE2" w:rsidRDefault="00E16C50" w:rsidP="003D371A">
            <w:pPr>
              <w:spacing w:line="360" w:lineRule="auto"/>
              <w:jc w:val="both"/>
              <w:rPr>
                <w:color w:val="000000"/>
                <w:sz w:val="22"/>
                <w:szCs w:val="22"/>
                <w:lang w:val="it-IT"/>
              </w:rPr>
            </w:pPr>
          </w:p>
        </w:tc>
        <w:tc>
          <w:tcPr>
            <w:tcW w:w="810" w:type="dxa"/>
          </w:tcPr>
          <w:p w:rsidR="00E16C50" w:rsidRPr="00916FE2" w:rsidRDefault="00E16C50" w:rsidP="003D371A">
            <w:pPr>
              <w:spacing w:line="360" w:lineRule="auto"/>
              <w:jc w:val="both"/>
              <w:rPr>
                <w:color w:val="000000"/>
                <w:sz w:val="22"/>
                <w:szCs w:val="22"/>
                <w:lang w:val="it-IT"/>
              </w:rPr>
            </w:pPr>
          </w:p>
        </w:tc>
        <w:tc>
          <w:tcPr>
            <w:tcW w:w="900" w:type="dxa"/>
          </w:tcPr>
          <w:p w:rsidR="00E16C50" w:rsidRPr="00916FE2" w:rsidRDefault="00E16C50" w:rsidP="003D371A">
            <w:pPr>
              <w:spacing w:line="360" w:lineRule="auto"/>
              <w:jc w:val="both"/>
              <w:rPr>
                <w:color w:val="000000"/>
                <w:sz w:val="22"/>
                <w:szCs w:val="22"/>
                <w:lang w:val="it-IT"/>
              </w:rPr>
            </w:pPr>
          </w:p>
        </w:tc>
        <w:tc>
          <w:tcPr>
            <w:tcW w:w="990" w:type="dxa"/>
          </w:tcPr>
          <w:p w:rsidR="00E16C50" w:rsidRPr="00916FE2" w:rsidRDefault="00E16C50" w:rsidP="003D371A">
            <w:pPr>
              <w:spacing w:line="360" w:lineRule="auto"/>
              <w:jc w:val="both"/>
              <w:rPr>
                <w:color w:val="000000"/>
                <w:sz w:val="22"/>
                <w:szCs w:val="22"/>
                <w:lang w:val="it-IT"/>
              </w:rPr>
            </w:pPr>
          </w:p>
        </w:tc>
      </w:tr>
      <w:tr w:rsidR="00E16C50" w:rsidRPr="00916FE2" w:rsidTr="003D371A">
        <w:tc>
          <w:tcPr>
            <w:tcW w:w="4140" w:type="dxa"/>
          </w:tcPr>
          <w:p w:rsidR="00E16C50" w:rsidRPr="00916FE2" w:rsidRDefault="00E16C50" w:rsidP="003D371A">
            <w:pPr>
              <w:spacing w:line="360" w:lineRule="auto"/>
              <w:jc w:val="both"/>
              <w:rPr>
                <w:color w:val="000000"/>
                <w:sz w:val="22"/>
                <w:szCs w:val="22"/>
                <w:lang w:val="it-IT"/>
              </w:rPr>
            </w:pPr>
            <w:r w:rsidRPr="00916FE2">
              <w:rPr>
                <w:color w:val="000000"/>
                <w:sz w:val="22"/>
                <w:szCs w:val="22"/>
                <w:lang w:val="it-IT"/>
              </w:rPr>
              <w:t>- Thành thị</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858,4</w:t>
            </w:r>
          </w:p>
        </w:tc>
        <w:tc>
          <w:tcPr>
            <w:tcW w:w="900" w:type="dxa"/>
          </w:tcPr>
          <w:p w:rsidR="00E16C50" w:rsidRPr="00916FE2" w:rsidRDefault="00E16C50" w:rsidP="003D371A">
            <w:pPr>
              <w:spacing w:line="360" w:lineRule="auto"/>
              <w:jc w:val="right"/>
              <w:rPr>
                <w:color w:val="000000"/>
                <w:sz w:val="22"/>
                <w:szCs w:val="22"/>
                <w:lang w:val="it-IT"/>
              </w:rPr>
            </w:pPr>
            <w:r>
              <w:rPr>
                <w:color w:val="000000"/>
                <w:sz w:val="22"/>
                <w:szCs w:val="22"/>
                <w:lang w:val="it-IT"/>
              </w:rPr>
              <w:t>1.023</w:t>
            </w:r>
          </w:p>
        </w:tc>
        <w:tc>
          <w:tcPr>
            <w:tcW w:w="990" w:type="dxa"/>
          </w:tcPr>
          <w:p w:rsidR="00E16C50" w:rsidRPr="00916FE2" w:rsidRDefault="00E16C50" w:rsidP="003D371A">
            <w:pPr>
              <w:spacing w:line="360" w:lineRule="auto"/>
              <w:jc w:val="right"/>
              <w:rPr>
                <w:color w:val="000000"/>
                <w:sz w:val="22"/>
                <w:szCs w:val="22"/>
                <w:lang w:val="it-IT"/>
              </w:rPr>
            </w:pPr>
            <w:r>
              <w:rPr>
                <w:color w:val="000000"/>
                <w:sz w:val="22"/>
                <w:szCs w:val="22"/>
                <w:lang w:val="it-IT"/>
              </w:rPr>
              <w:t>1.</w:t>
            </w:r>
            <w:r w:rsidRPr="00916FE2">
              <w:rPr>
                <w:color w:val="000000"/>
                <w:sz w:val="22"/>
                <w:szCs w:val="22"/>
                <w:lang w:val="it-IT"/>
              </w:rPr>
              <w:t>32</w:t>
            </w:r>
            <w:r>
              <w:rPr>
                <w:color w:val="000000"/>
                <w:sz w:val="22"/>
                <w:szCs w:val="22"/>
                <w:lang w:val="it-IT"/>
              </w:rPr>
              <w:t>5</w:t>
            </w:r>
          </w:p>
        </w:tc>
        <w:tc>
          <w:tcPr>
            <w:tcW w:w="810" w:type="dxa"/>
          </w:tcPr>
          <w:p w:rsidR="00E16C50" w:rsidRPr="00916FE2" w:rsidRDefault="00E16C50" w:rsidP="003D371A">
            <w:pPr>
              <w:spacing w:line="360" w:lineRule="auto"/>
              <w:jc w:val="right"/>
              <w:rPr>
                <w:color w:val="000000"/>
                <w:sz w:val="22"/>
                <w:szCs w:val="22"/>
                <w:lang w:val="it-IT"/>
              </w:rPr>
            </w:pPr>
            <w:r>
              <w:rPr>
                <w:color w:val="000000"/>
                <w:sz w:val="22"/>
                <w:szCs w:val="22"/>
                <w:lang w:val="it-IT"/>
              </w:rPr>
              <w:t>1.573</w:t>
            </w:r>
          </w:p>
        </w:tc>
        <w:tc>
          <w:tcPr>
            <w:tcW w:w="90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1.761,3</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2.026</w:t>
            </w:r>
          </w:p>
        </w:tc>
      </w:tr>
      <w:tr w:rsidR="00E16C50" w:rsidRPr="00916FE2" w:rsidTr="003D371A">
        <w:tc>
          <w:tcPr>
            <w:tcW w:w="4140" w:type="dxa"/>
          </w:tcPr>
          <w:p w:rsidR="00E16C50" w:rsidRPr="00916FE2" w:rsidRDefault="00E16C50" w:rsidP="003D371A">
            <w:pPr>
              <w:spacing w:line="360" w:lineRule="auto"/>
              <w:jc w:val="both"/>
              <w:rPr>
                <w:color w:val="000000"/>
                <w:sz w:val="22"/>
                <w:szCs w:val="22"/>
                <w:lang w:val="it-IT"/>
              </w:rPr>
            </w:pPr>
            <w:r w:rsidRPr="00916FE2">
              <w:rPr>
                <w:color w:val="000000"/>
                <w:sz w:val="22"/>
                <w:szCs w:val="22"/>
                <w:lang w:val="it-IT"/>
              </w:rPr>
              <w:t>- Nông thôn</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459,4</w:t>
            </w:r>
          </w:p>
        </w:tc>
        <w:tc>
          <w:tcPr>
            <w:tcW w:w="900" w:type="dxa"/>
          </w:tcPr>
          <w:p w:rsidR="00E16C50" w:rsidRPr="00916FE2" w:rsidRDefault="00E16C50" w:rsidP="003D371A">
            <w:pPr>
              <w:spacing w:line="360" w:lineRule="auto"/>
              <w:jc w:val="right"/>
              <w:rPr>
                <w:color w:val="000000"/>
                <w:sz w:val="22"/>
                <w:szCs w:val="22"/>
                <w:lang w:val="it-IT"/>
              </w:rPr>
            </w:pPr>
            <w:r>
              <w:rPr>
                <w:color w:val="000000"/>
                <w:sz w:val="22"/>
                <w:szCs w:val="22"/>
                <w:lang w:val="it-IT"/>
              </w:rPr>
              <w:t>598</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701</w:t>
            </w:r>
          </w:p>
        </w:tc>
        <w:tc>
          <w:tcPr>
            <w:tcW w:w="810" w:type="dxa"/>
          </w:tcPr>
          <w:p w:rsidR="00E16C50" w:rsidRPr="00916FE2" w:rsidRDefault="00E16C50" w:rsidP="003D371A">
            <w:pPr>
              <w:spacing w:line="360" w:lineRule="auto"/>
              <w:jc w:val="right"/>
              <w:rPr>
                <w:color w:val="000000"/>
                <w:sz w:val="22"/>
                <w:szCs w:val="22"/>
                <w:lang w:val="it-IT"/>
              </w:rPr>
            </w:pPr>
            <w:r>
              <w:rPr>
                <w:color w:val="000000"/>
                <w:sz w:val="22"/>
                <w:szCs w:val="22"/>
                <w:lang w:val="it-IT"/>
              </w:rPr>
              <w:t>825</w:t>
            </w:r>
          </w:p>
        </w:tc>
        <w:tc>
          <w:tcPr>
            <w:tcW w:w="90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911,8</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1.162,4</w:t>
            </w:r>
          </w:p>
        </w:tc>
      </w:tr>
      <w:tr w:rsidR="00E16C50" w:rsidRPr="00916FE2" w:rsidTr="003D371A">
        <w:tc>
          <w:tcPr>
            <w:tcW w:w="4140" w:type="dxa"/>
          </w:tcPr>
          <w:p w:rsidR="00E16C50" w:rsidRPr="00916FE2" w:rsidRDefault="00E16C50" w:rsidP="003D371A">
            <w:pPr>
              <w:spacing w:line="360" w:lineRule="auto"/>
              <w:jc w:val="both"/>
              <w:rPr>
                <w:b/>
                <w:color w:val="000000"/>
                <w:sz w:val="22"/>
                <w:szCs w:val="22"/>
                <w:lang w:val="it-IT"/>
              </w:rPr>
            </w:pPr>
            <w:r w:rsidRPr="00916FE2">
              <w:rPr>
                <w:b/>
                <w:color w:val="000000"/>
                <w:sz w:val="22"/>
                <w:szCs w:val="22"/>
                <w:lang w:val="it-IT"/>
              </w:rPr>
              <w:t>Phân theo nhóm thu nhập</w:t>
            </w:r>
          </w:p>
        </w:tc>
        <w:tc>
          <w:tcPr>
            <w:tcW w:w="990" w:type="dxa"/>
          </w:tcPr>
          <w:p w:rsidR="00E16C50" w:rsidRPr="00916FE2" w:rsidRDefault="00E16C50" w:rsidP="003D371A">
            <w:pPr>
              <w:spacing w:line="360" w:lineRule="auto"/>
              <w:jc w:val="right"/>
              <w:rPr>
                <w:color w:val="000000"/>
                <w:sz w:val="22"/>
                <w:szCs w:val="22"/>
                <w:lang w:val="it-IT"/>
              </w:rPr>
            </w:pPr>
          </w:p>
        </w:tc>
        <w:tc>
          <w:tcPr>
            <w:tcW w:w="900" w:type="dxa"/>
          </w:tcPr>
          <w:p w:rsidR="00E16C50" w:rsidRPr="00916FE2" w:rsidRDefault="00E16C50" w:rsidP="003D371A">
            <w:pPr>
              <w:spacing w:line="360" w:lineRule="auto"/>
              <w:jc w:val="right"/>
              <w:rPr>
                <w:color w:val="000000"/>
                <w:sz w:val="22"/>
                <w:szCs w:val="22"/>
                <w:lang w:val="it-IT"/>
              </w:rPr>
            </w:pPr>
          </w:p>
        </w:tc>
        <w:tc>
          <w:tcPr>
            <w:tcW w:w="990" w:type="dxa"/>
          </w:tcPr>
          <w:p w:rsidR="00E16C50" w:rsidRPr="00916FE2" w:rsidRDefault="00E16C50" w:rsidP="003D371A">
            <w:pPr>
              <w:spacing w:line="360" w:lineRule="auto"/>
              <w:jc w:val="right"/>
              <w:rPr>
                <w:color w:val="000000"/>
                <w:sz w:val="22"/>
                <w:szCs w:val="22"/>
                <w:lang w:val="it-IT"/>
              </w:rPr>
            </w:pPr>
          </w:p>
        </w:tc>
        <w:tc>
          <w:tcPr>
            <w:tcW w:w="810" w:type="dxa"/>
          </w:tcPr>
          <w:p w:rsidR="00E16C50" w:rsidRPr="00916FE2" w:rsidRDefault="00E16C50" w:rsidP="003D371A">
            <w:pPr>
              <w:spacing w:line="360" w:lineRule="auto"/>
              <w:jc w:val="right"/>
              <w:rPr>
                <w:color w:val="000000"/>
                <w:sz w:val="22"/>
                <w:szCs w:val="22"/>
                <w:lang w:val="it-IT"/>
              </w:rPr>
            </w:pPr>
          </w:p>
        </w:tc>
        <w:tc>
          <w:tcPr>
            <w:tcW w:w="900" w:type="dxa"/>
          </w:tcPr>
          <w:p w:rsidR="00E16C50" w:rsidRPr="00916FE2" w:rsidRDefault="00E16C50" w:rsidP="003D371A">
            <w:pPr>
              <w:spacing w:line="360" w:lineRule="auto"/>
              <w:jc w:val="right"/>
              <w:rPr>
                <w:color w:val="000000"/>
                <w:sz w:val="22"/>
                <w:szCs w:val="22"/>
                <w:lang w:val="it-IT"/>
              </w:rPr>
            </w:pPr>
          </w:p>
        </w:tc>
        <w:tc>
          <w:tcPr>
            <w:tcW w:w="990" w:type="dxa"/>
          </w:tcPr>
          <w:p w:rsidR="00E16C50" w:rsidRPr="00916FE2" w:rsidRDefault="00E16C50" w:rsidP="003D371A">
            <w:pPr>
              <w:spacing w:line="360" w:lineRule="auto"/>
              <w:jc w:val="right"/>
              <w:rPr>
                <w:color w:val="000000"/>
                <w:sz w:val="22"/>
                <w:szCs w:val="22"/>
                <w:lang w:val="it-IT"/>
              </w:rPr>
            </w:pPr>
          </w:p>
        </w:tc>
      </w:tr>
      <w:tr w:rsidR="00E16C50" w:rsidRPr="00916FE2" w:rsidTr="003D371A">
        <w:tc>
          <w:tcPr>
            <w:tcW w:w="4140" w:type="dxa"/>
          </w:tcPr>
          <w:p w:rsidR="00E16C50" w:rsidRPr="00916FE2" w:rsidRDefault="00E16C50" w:rsidP="003D371A">
            <w:pPr>
              <w:spacing w:line="360" w:lineRule="auto"/>
              <w:jc w:val="both"/>
              <w:rPr>
                <w:color w:val="000000"/>
                <w:sz w:val="22"/>
                <w:szCs w:val="22"/>
                <w:lang w:val="it-IT"/>
              </w:rPr>
            </w:pPr>
            <w:r w:rsidRPr="00916FE2">
              <w:rPr>
                <w:color w:val="000000"/>
                <w:sz w:val="22"/>
                <w:szCs w:val="22"/>
                <w:lang w:val="it-IT"/>
              </w:rPr>
              <w:t>Nhóm 1</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182,7</w:t>
            </w:r>
          </w:p>
        </w:tc>
        <w:tc>
          <w:tcPr>
            <w:tcW w:w="900" w:type="dxa"/>
          </w:tcPr>
          <w:p w:rsidR="00E16C50" w:rsidRPr="00916FE2" w:rsidRDefault="00E16C50" w:rsidP="003D371A">
            <w:pPr>
              <w:spacing w:line="360" w:lineRule="auto"/>
              <w:jc w:val="right"/>
              <w:rPr>
                <w:color w:val="000000"/>
                <w:sz w:val="22"/>
                <w:szCs w:val="22"/>
                <w:lang w:val="it-IT"/>
              </w:rPr>
            </w:pPr>
            <w:r>
              <w:rPr>
                <w:color w:val="000000"/>
                <w:sz w:val="22"/>
                <w:szCs w:val="22"/>
                <w:lang w:val="it-IT"/>
              </w:rPr>
              <w:t>228,9</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269,2</w:t>
            </w:r>
          </w:p>
        </w:tc>
        <w:tc>
          <w:tcPr>
            <w:tcW w:w="810" w:type="dxa"/>
          </w:tcPr>
          <w:p w:rsidR="00E16C50" w:rsidRPr="00916FE2" w:rsidRDefault="00E16C50" w:rsidP="003D371A">
            <w:pPr>
              <w:spacing w:line="360" w:lineRule="auto"/>
              <w:jc w:val="right"/>
              <w:rPr>
                <w:color w:val="000000"/>
                <w:sz w:val="22"/>
                <w:szCs w:val="22"/>
                <w:lang w:val="it-IT"/>
              </w:rPr>
            </w:pPr>
            <w:r>
              <w:rPr>
                <w:color w:val="000000"/>
                <w:sz w:val="22"/>
                <w:szCs w:val="22"/>
                <w:lang w:val="it-IT"/>
              </w:rPr>
              <w:t>316,6</w:t>
            </w:r>
          </w:p>
        </w:tc>
        <w:tc>
          <w:tcPr>
            <w:tcW w:w="90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357,9</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460,1</w:t>
            </w:r>
          </w:p>
        </w:tc>
      </w:tr>
      <w:tr w:rsidR="00E16C50" w:rsidRPr="00916FE2" w:rsidTr="003D371A">
        <w:tc>
          <w:tcPr>
            <w:tcW w:w="4140" w:type="dxa"/>
          </w:tcPr>
          <w:p w:rsidR="00E16C50" w:rsidRPr="00916FE2" w:rsidRDefault="00E16C50" w:rsidP="003D371A">
            <w:pPr>
              <w:spacing w:line="360" w:lineRule="auto"/>
              <w:jc w:val="both"/>
              <w:rPr>
                <w:color w:val="000000"/>
                <w:sz w:val="22"/>
                <w:szCs w:val="22"/>
                <w:lang w:val="it-IT"/>
              </w:rPr>
            </w:pPr>
            <w:r w:rsidRPr="00916FE2">
              <w:rPr>
                <w:color w:val="000000"/>
                <w:sz w:val="22"/>
                <w:szCs w:val="22"/>
                <w:lang w:val="it-IT"/>
              </w:rPr>
              <w:t>Nhóm 2</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292</w:t>
            </w:r>
          </w:p>
        </w:tc>
        <w:tc>
          <w:tcPr>
            <w:tcW w:w="900" w:type="dxa"/>
          </w:tcPr>
          <w:p w:rsidR="00E16C50" w:rsidRPr="00916FE2" w:rsidRDefault="00E16C50" w:rsidP="003D371A">
            <w:pPr>
              <w:spacing w:line="360" w:lineRule="auto"/>
              <w:jc w:val="right"/>
              <w:rPr>
                <w:color w:val="000000"/>
                <w:sz w:val="22"/>
                <w:szCs w:val="22"/>
                <w:lang w:val="it-IT"/>
              </w:rPr>
            </w:pPr>
            <w:r>
              <w:rPr>
                <w:color w:val="000000"/>
                <w:sz w:val="22"/>
                <w:szCs w:val="22"/>
                <w:lang w:val="it-IT"/>
              </w:rPr>
              <w:t>368,5</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403,4</w:t>
            </w:r>
          </w:p>
        </w:tc>
        <w:tc>
          <w:tcPr>
            <w:tcW w:w="810" w:type="dxa"/>
          </w:tcPr>
          <w:p w:rsidR="00E16C50" w:rsidRPr="00916FE2" w:rsidRDefault="00E16C50" w:rsidP="003D371A">
            <w:pPr>
              <w:spacing w:line="360" w:lineRule="auto"/>
              <w:jc w:val="right"/>
              <w:rPr>
                <w:color w:val="000000"/>
                <w:sz w:val="22"/>
                <w:szCs w:val="22"/>
                <w:lang w:val="it-IT"/>
              </w:rPr>
            </w:pPr>
            <w:r>
              <w:rPr>
                <w:color w:val="000000"/>
                <w:sz w:val="22"/>
                <w:szCs w:val="22"/>
                <w:lang w:val="it-IT"/>
              </w:rPr>
              <w:t>478,6</w:t>
            </w:r>
          </w:p>
        </w:tc>
        <w:tc>
          <w:tcPr>
            <w:tcW w:w="90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572,3</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753,6</w:t>
            </w:r>
          </w:p>
        </w:tc>
      </w:tr>
      <w:tr w:rsidR="00E16C50" w:rsidRPr="00916FE2" w:rsidTr="003D371A">
        <w:tc>
          <w:tcPr>
            <w:tcW w:w="4140" w:type="dxa"/>
          </w:tcPr>
          <w:p w:rsidR="00E16C50" w:rsidRPr="00916FE2" w:rsidRDefault="00E16C50" w:rsidP="003D371A">
            <w:pPr>
              <w:spacing w:line="360" w:lineRule="auto"/>
              <w:jc w:val="both"/>
              <w:rPr>
                <w:color w:val="000000"/>
                <w:sz w:val="22"/>
                <w:szCs w:val="22"/>
                <w:lang w:val="it-IT"/>
              </w:rPr>
            </w:pPr>
            <w:r w:rsidRPr="00916FE2">
              <w:rPr>
                <w:color w:val="000000"/>
                <w:sz w:val="22"/>
                <w:szCs w:val="22"/>
                <w:lang w:val="it-IT"/>
              </w:rPr>
              <w:t>Nhóm 3</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404</w:t>
            </w:r>
          </w:p>
        </w:tc>
        <w:tc>
          <w:tcPr>
            <w:tcW w:w="900" w:type="dxa"/>
          </w:tcPr>
          <w:p w:rsidR="00E16C50" w:rsidRPr="00916FE2" w:rsidRDefault="00E16C50" w:rsidP="003D371A">
            <w:pPr>
              <w:spacing w:line="360" w:lineRule="auto"/>
              <w:jc w:val="right"/>
              <w:rPr>
                <w:color w:val="000000"/>
                <w:sz w:val="22"/>
                <w:szCs w:val="22"/>
                <w:lang w:val="it-IT"/>
              </w:rPr>
            </w:pPr>
            <w:r>
              <w:rPr>
                <w:color w:val="000000"/>
                <w:sz w:val="22"/>
                <w:szCs w:val="22"/>
                <w:lang w:val="it-IT"/>
              </w:rPr>
              <w:t>487,6</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565,7</w:t>
            </w:r>
          </w:p>
        </w:tc>
        <w:tc>
          <w:tcPr>
            <w:tcW w:w="810" w:type="dxa"/>
          </w:tcPr>
          <w:p w:rsidR="00E16C50" w:rsidRPr="00916FE2" w:rsidRDefault="00E16C50" w:rsidP="003D371A">
            <w:pPr>
              <w:spacing w:line="360" w:lineRule="auto"/>
              <w:jc w:val="right"/>
              <w:rPr>
                <w:color w:val="000000"/>
                <w:sz w:val="22"/>
                <w:szCs w:val="22"/>
                <w:lang w:val="it-IT"/>
              </w:rPr>
            </w:pPr>
            <w:r>
              <w:rPr>
                <w:color w:val="000000"/>
                <w:sz w:val="22"/>
                <w:szCs w:val="22"/>
                <w:lang w:val="it-IT"/>
              </w:rPr>
              <w:t>723,5</w:t>
            </w:r>
          </w:p>
        </w:tc>
        <w:tc>
          <w:tcPr>
            <w:tcW w:w="90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841,8</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1.098</w:t>
            </w:r>
          </w:p>
        </w:tc>
      </w:tr>
      <w:tr w:rsidR="00E16C50" w:rsidRPr="00916FE2" w:rsidTr="003D371A">
        <w:tc>
          <w:tcPr>
            <w:tcW w:w="4140" w:type="dxa"/>
          </w:tcPr>
          <w:p w:rsidR="00E16C50" w:rsidRPr="00916FE2" w:rsidRDefault="00E16C50" w:rsidP="003D371A">
            <w:pPr>
              <w:spacing w:line="360" w:lineRule="auto"/>
              <w:jc w:val="both"/>
              <w:rPr>
                <w:color w:val="000000"/>
                <w:sz w:val="22"/>
                <w:szCs w:val="22"/>
                <w:lang w:val="it-IT"/>
              </w:rPr>
            </w:pPr>
            <w:r w:rsidRPr="00916FE2">
              <w:rPr>
                <w:color w:val="000000"/>
                <w:sz w:val="22"/>
                <w:szCs w:val="22"/>
                <w:lang w:val="it-IT"/>
              </w:rPr>
              <w:t>Nhóm 4</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621</w:t>
            </w:r>
          </w:p>
        </w:tc>
        <w:tc>
          <w:tcPr>
            <w:tcW w:w="900" w:type="dxa"/>
          </w:tcPr>
          <w:p w:rsidR="00E16C50" w:rsidRPr="00916FE2" w:rsidRDefault="00E16C50" w:rsidP="003D371A">
            <w:pPr>
              <w:spacing w:line="360" w:lineRule="auto"/>
              <w:jc w:val="right"/>
              <w:rPr>
                <w:color w:val="000000"/>
                <w:sz w:val="22"/>
                <w:szCs w:val="22"/>
                <w:lang w:val="it-IT"/>
              </w:rPr>
            </w:pPr>
            <w:r>
              <w:rPr>
                <w:color w:val="000000"/>
                <w:sz w:val="22"/>
                <w:szCs w:val="22"/>
                <w:lang w:val="it-IT"/>
              </w:rPr>
              <w:t>823,5</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1.037,6</w:t>
            </w:r>
          </w:p>
        </w:tc>
        <w:tc>
          <w:tcPr>
            <w:tcW w:w="810" w:type="dxa"/>
          </w:tcPr>
          <w:p w:rsidR="00E16C50" w:rsidRPr="00916FE2" w:rsidRDefault="00E16C50" w:rsidP="003D371A">
            <w:pPr>
              <w:spacing w:line="360" w:lineRule="auto"/>
              <w:jc w:val="right"/>
              <w:rPr>
                <w:color w:val="000000"/>
                <w:sz w:val="22"/>
                <w:szCs w:val="22"/>
                <w:lang w:val="it-IT"/>
              </w:rPr>
            </w:pPr>
            <w:r>
              <w:rPr>
                <w:color w:val="000000"/>
                <w:sz w:val="22"/>
                <w:szCs w:val="22"/>
                <w:lang w:val="it-IT"/>
              </w:rPr>
              <w:t>1.818,2</w:t>
            </w:r>
          </w:p>
        </w:tc>
        <w:tc>
          <w:tcPr>
            <w:tcW w:w="90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1.303,2</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1.574,6</w:t>
            </w:r>
          </w:p>
        </w:tc>
      </w:tr>
      <w:tr w:rsidR="00E16C50" w:rsidRPr="00916FE2" w:rsidTr="003D371A">
        <w:tc>
          <w:tcPr>
            <w:tcW w:w="4140" w:type="dxa"/>
          </w:tcPr>
          <w:p w:rsidR="00E16C50" w:rsidRPr="00916FE2" w:rsidRDefault="00E16C50" w:rsidP="003D371A">
            <w:pPr>
              <w:spacing w:line="360" w:lineRule="auto"/>
              <w:jc w:val="both"/>
              <w:rPr>
                <w:color w:val="000000"/>
                <w:sz w:val="22"/>
                <w:szCs w:val="22"/>
                <w:lang w:val="it-IT"/>
              </w:rPr>
            </w:pPr>
            <w:r w:rsidRPr="00916FE2">
              <w:rPr>
                <w:color w:val="000000"/>
                <w:sz w:val="22"/>
                <w:szCs w:val="22"/>
                <w:lang w:val="it-IT"/>
              </w:rPr>
              <w:t>Nhóm 5</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1.277</w:t>
            </w:r>
          </w:p>
        </w:tc>
        <w:tc>
          <w:tcPr>
            <w:tcW w:w="900" w:type="dxa"/>
          </w:tcPr>
          <w:p w:rsidR="00E16C50" w:rsidRPr="00916FE2" w:rsidRDefault="00E16C50" w:rsidP="003D371A">
            <w:pPr>
              <w:spacing w:line="360" w:lineRule="auto"/>
              <w:jc w:val="right"/>
              <w:rPr>
                <w:color w:val="000000"/>
                <w:sz w:val="22"/>
                <w:szCs w:val="22"/>
                <w:lang w:val="it-IT"/>
              </w:rPr>
            </w:pPr>
            <w:r>
              <w:rPr>
                <w:color w:val="000000"/>
                <w:sz w:val="22"/>
                <w:szCs w:val="22"/>
                <w:lang w:val="it-IT"/>
              </w:rPr>
              <w:t>1.648,6</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1.972,5</w:t>
            </w:r>
          </w:p>
        </w:tc>
        <w:tc>
          <w:tcPr>
            <w:tcW w:w="810" w:type="dxa"/>
          </w:tcPr>
          <w:p w:rsidR="00E16C50" w:rsidRPr="00916FE2" w:rsidRDefault="00E16C50" w:rsidP="003D371A">
            <w:pPr>
              <w:spacing w:line="360" w:lineRule="auto"/>
              <w:jc w:val="right"/>
              <w:rPr>
                <w:color w:val="000000"/>
                <w:sz w:val="22"/>
                <w:szCs w:val="22"/>
                <w:lang w:val="it-IT"/>
              </w:rPr>
            </w:pPr>
            <w:r>
              <w:rPr>
                <w:color w:val="000000"/>
                <w:sz w:val="22"/>
                <w:szCs w:val="22"/>
                <w:lang w:val="it-IT"/>
              </w:rPr>
              <w:t>2.279,5</w:t>
            </w:r>
          </w:p>
        </w:tc>
        <w:tc>
          <w:tcPr>
            <w:tcW w:w="90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2.682,7</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3.341,4</w:t>
            </w:r>
          </w:p>
        </w:tc>
      </w:tr>
      <w:tr w:rsidR="00E16C50" w:rsidRPr="00916FE2" w:rsidTr="003D371A">
        <w:tc>
          <w:tcPr>
            <w:tcW w:w="4140" w:type="dxa"/>
          </w:tcPr>
          <w:p w:rsidR="00E16C50" w:rsidRPr="00916FE2" w:rsidRDefault="00E16C50" w:rsidP="003D371A">
            <w:pPr>
              <w:spacing w:line="360" w:lineRule="auto"/>
              <w:jc w:val="both"/>
              <w:rPr>
                <w:color w:val="000000"/>
                <w:sz w:val="22"/>
                <w:szCs w:val="22"/>
                <w:lang w:val="it-IT"/>
              </w:rPr>
            </w:pPr>
            <w:r w:rsidRPr="00916FE2">
              <w:rPr>
                <w:color w:val="000000"/>
                <w:sz w:val="22"/>
                <w:szCs w:val="22"/>
                <w:lang w:val="it-IT"/>
              </w:rPr>
              <w:t>Chênh lệch giữa nhóm thu nhập cao nhất với nhóm thu nhập thấp nhất (Lần)</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7</w:t>
            </w:r>
          </w:p>
        </w:tc>
        <w:tc>
          <w:tcPr>
            <w:tcW w:w="90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7,2</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7,</w:t>
            </w:r>
            <w:r>
              <w:rPr>
                <w:color w:val="000000"/>
                <w:sz w:val="22"/>
                <w:szCs w:val="22"/>
                <w:lang w:val="it-IT"/>
              </w:rPr>
              <w:t>3</w:t>
            </w:r>
          </w:p>
        </w:tc>
        <w:tc>
          <w:tcPr>
            <w:tcW w:w="81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7,2</w:t>
            </w:r>
          </w:p>
        </w:tc>
        <w:tc>
          <w:tcPr>
            <w:tcW w:w="90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7,</w:t>
            </w:r>
            <w:r>
              <w:rPr>
                <w:color w:val="000000"/>
                <w:sz w:val="22"/>
                <w:szCs w:val="22"/>
                <w:lang w:val="it-IT"/>
              </w:rPr>
              <w:t>5</w:t>
            </w:r>
          </w:p>
        </w:tc>
        <w:tc>
          <w:tcPr>
            <w:tcW w:w="990" w:type="dxa"/>
          </w:tcPr>
          <w:p w:rsidR="00E16C50" w:rsidRPr="00916FE2" w:rsidRDefault="00E16C50" w:rsidP="003D371A">
            <w:pPr>
              <w:spacing w:line="360" w:lineRule="auto"/>
              <w:jc w:val="right"/>
              <w:rPr>
                <w:color w:val="000000"/>
                <w:sz w:val="22"/>
                <w:szCs w:val="22"/>
                <w:lang w:val="it-IT"/>
              </w:rPr>
            </w:pPr>
            <w:r w:rsidRPr="00916FE2">
              <w:rPr>
                <w:color w:val="000000"/>
                <w:sz w:val="22"/>
                <w:szCs w:val="22"/>
                <w:lang w:val="it-IT"/>
              </w:rPr>
              <w:t>7,3</w:t>
            </w:r>
          </w:p>
        </w:tc>
      </w:tr>
    </w:tbl>
    <w:p w:rsidR="00E16C50" w:rsidRDefault="00E16C50" w:rsidP="00C00460">
      <w:pPr>
        <w:spacing w:line="360" w:lineRule="auto"/>
        <w:jc w:val="center"/>
        <w:rPr>
          <w:i/>
          <w:color w:val="000000"/>
          <w:sz w:val="22"/>
          <w:szCs w:val="22"/>
          <w:lang w:val="it-IT"/>
        </w:rPr>
      </w:pPr>
      <w:r w:rsidRPr="00916FE2">
        <w:rPr>
          <w:i/>
          <w:color w:val="000000"/>
          <w:sz w:val="22"/>
          <w:szCs w:val="22"/>
          <w:lang w:val="it-IT"/>
        </w:rPr>
        <w:t>Nguồn [6, tr.255 và tính toán của tác giả</w:t>
      </w:r>
      <w:r w:rsidR="00C00460">
        <w:rPr>
          <w:i/>
          <w:color w:val="000000"/>
          <w:sz w:val="22"/>
          <w:szCs w:val="22"/>
          <w:lang w:val="it-IT"/>
        </w:rPr>
        <w:t>.</w:t>
      </w:r>
    </w:p>
    <w:p w:rsidR="00C00460" w:rsidRDefault="00C00460" w:rsidP="00C00460">
      <w:pPr>
        <w:spacing w:line="360" w:lineRule="auto"/>
        <w:jc w:val="center"/>
        <w:rPr>
          <w:i/>
          <w:color w:val="000000"/>
          <w:sz w:val="22"/>
          <w:szCs w:val="22"/>
          <w:lang w:val="it-IT"/>
        </w:rPr>
      </w:pPr>
    </w:p>
    <w:p w:rsidR="00C00460" w:rsidRPr="00C00460" w:rsidRDefault="00C00460" w:rsidP="00C00460">
      <w:pPr>
        <w:spacing w:line="360" w:lineRule="auto"/>
        <w:rPr>
          <w:i/>
          <w:color w:val="000000"/>
          <w:sz w:val="22"/>
          <w:szCs w:val="22"/>
          <w:lang w:val="it-IT"/>
        </w:rPr>
        <w:sectPr w:rsidR="00C00460" w:rsidRPr="00C00460" w:rsidSect="00601C0A">
          <w:type w:val="continuous"/>
          <w:pgSz w:w="12240" w:h="15840"/>
          <w:pgMar w:top="1440" w:right="1440" w:bottom="1440" w:left="1440" w:header="720" w:footer="720" w:gutter="0"/>
          <w:cols w:space="720"/>
          <w:docGrid w:linePitch="360"/>
        </w:sectPr>
      </w:pPr>
    </w:p>
    <w:p w:rsidR="00E16C50" w:rsidRPr="00C678DA" w:rsidRDefault="00E16C50" w:rsidP="00C00460">
      <w:pPr>
        <w:tabs>
          <w:tab w:val="left" w:pos="7815"/>
        </w:tabs>
        <w:spacing w:line="280" w:lineRule="exact"/>
        <w:jc w:val="both"/>
        <w:rPr>
          <w:rFonts w:eastAsia="Calibri"/>
          <w:sz w:val="22"/>
        </w:rPr>
      </w:pPr>
      <w:r w:rsidRPr="00C678DA">
        <w:rPr>
          <w:rFonts w:eastAsia="Calibri"/>
          <w:sz w:val="22"/>
        </w:rPr>
        <w:lastRenderedPageBreak/>
        <w:t>Qua Bảng số liệu trên ta thấy, thu nhập bình quân đầu người/ tháng tăng liên tục qua các năm. Tuy nhiên, có sự chênh lệch khá lớn giữa khu vực thành thị và nông thôn (năm 2011, thu nhập bình quân đầu người/tháng của khu vực thành thị cao gấp gần hai lần so với khu vực nông thôn). Điều này được thể hiện rõ nhất khi phân tích sự chênh lệch thu nhập giữa các nhóm thu nhập trong xã hội; năm 2011 sự chênh lệch thu nhập giữa nhóm thấp nhất (nhóm 1) và nhóm cao nhất (nhóm 5) lên tới hơn 7 lần. Thực trạng này cho thấy sự phân hóa giàu – nghèo giữa các tầng lớp dân cư trong xã hội trên địa bàn tỉnh Thái Nguyên đã đạt mức báo động, đe dọa nghiêm trọng việc thực hiện mục tiêu phát triển bền vững về mặt xã hội trên địa bàn tỉnh Thái Nguyên.</w:t>
      </w:r>
    </w:p>
    <w:p w:rsidR="00E16C50" w:rsidRPr="0054551E" w:rsidRDefault="00E16C50" w:rsidP="00E16C50">
      <w:pPr>
        <w:spacing w:before="40" w:after="40" w:line="360" w:lineRule="auto"/>
        <w:jc w:val="both"/>
        <w:rPr>
          <w:b/>
          <w:color w:val="000000"/>
          <w:sz w:val="22"/>
          <w:szCs w:val="22"/>
          <w:lang w:val="it-IT"/>
        </w:rPr>
      </w:pPr>
      <w:r w:rsidRPr="0054551E">
        <w:rPr>
          <w:b/>
          <w:color w:val="000000"/>
          <w:sz w:val="22"/>
          <w:szCs w:val="22"/>
          <w:lang w:val="it-IT"/>
        </w:rPr>
        <w:t>CHUYỂN DỊCH CƠ CẤU KINH TẾ NGÀNH VÀ SỰ BỀN VỮNG VỀ MÔI TRƯỜNG SINH THÁI</w:t>
      </w:r>
    </w:p>
    <w:p w:rsidR="00E16C50" w:rsidRPr="00916FE2" w:rsidRDefault="00E16C50" w:rsidP="00E16C50">
      <w:pPr>
        <w:spacing w:before="120" w:line="360" w:lineRule="auto"/>
        <w:jc w:val="both"/>
        <w:rPr>
          <w:i/>
          <w:sz w:val="22"/>
          <w:szCs w:val="22"/>
          <w:lang w:val="hsb-DE"/>
        </w:rPr>
      </w:pPr>
      <w:r>
        <w:rPr>
          <w:i/>
          <w:sz w:val="22"/>
          <w:szCs w:val="22"/>
          <w:lang w:val="hsb-DE"/>
        </w:rPr>
        <w:t>Về vấn đề chất thải</w:t>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t>Theo thống kê sơ bộ, tổng lượng chất thải rắn sinh hoạt trong toàn tỉnh khoảng 404 tấn/ngày, đã thu gom khoảng 36%, nhưng chỉ có thành phố Thái nguyên và thị xã Sông Công thực hiện thu gom và xử lý rác thải theo quy trình hợp vệ sinh. Ở các huyện, tiến độ xây dựng các dự án bãi chôn lấp chậm, rác thải đang được chôn lấp thủ công tại các bãi chôn lấp tạm thời, chưa có đơn vị chuyên trách đứng ra thu gom và xử lý rác thải, chủ yếu do các tổ vệ sinh tự quản thực hiện, được hình thành một cách tự phát, cả tỉnh có khoảng 12 đơn vị tự quản vệ sinh môi trường ở các huyện, tổ chức thu gom rác ở khu vực trung tâm thị trấn và một số thị tứ. Ở các huyện còn khá phổ biến tình trạng rác thải sinh hoạt đổ thải bừa bãi tại các chân cầu, suối, ven đường giao thông và các nơi công cộng.</w:t>
      </w:r>
    </w:p>
    <w:p w:rsidR="00E16C50" w:rsidRPr="00D85FD8" w:rsidRDefault="00E16C50" w:rsidP="00E16C50">
      <w:pPr>
        <w:spacing w:line="360" w:lineRule="auto"/>
        <w:jc w:val="both"/>
        <w:rPr>
          <w:b/>
          <w:color w:val="000000"/>
          <w:sz w:val="22"/>
          <w:szCs w:val="22"/>
          <w:lang w:val="it-IT"/>
        </w:rPr>
      </w:pPr>
      <w:r w:rsidRPr="00916FE2">
        <w:rPr>
          <w:b/>
          <w:i/>
          <w:color w:val="000000"/>
          <w:sz w:val="22"/>
          <w:szCs w:val="22"/>
          <w:lang w:val="it-IT"/>
        </w:rPr>
        <w:t>Ô nhiễm môi trường</w:t>
      </w:r>
    </w:p>
    <w:p w:rsidR="00E16C50" w:rsidRPr="00916FE2" w:rsidRDefault="00E16C50" w:rsidP="00E16C50">
      <w:pPr>
        <w:spacing w:before="120" w:line="360" w:lineRule="auto"/>
        <w:jc w:val="both"/>
        <w:rPr>
          <w:i/>
          <w:spacing w:val="-4"/>
          <w:sz w:val="22"/>
          <w:szCs w:val="22"/>
          <w:lang w:val="hsb-DE"/>
        </w:rPr>
      </w:pPr>
      <w:r w:rsidRPr="00916FE2">
        <w:rPr>
          <w:i/>
          <w:spacing w:val="-4"/>
          <w:sz w:val="22"/>
          <w:szCs w:val="22"/>
          <w:lang w:val="it-IT"/>
        </w:rPr>
        <w:t>*</w:t>
      </w:r>
      <w:r w:rsidRPr="00916FE2">
        <w:rPr>
          <w:i/>
          <w:spacing w:val="-4"/>
          <w:sz w:val="22"/>
          <w:szCs w:val="22"/>
          <w:lang w:val="hsb-DE"/>
        </w:rPr>
        <w:t xml:space="preserve"> Môi trường nước</w:t>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t xml:space="preserve">Theo thống kê sơ bộ, mỗi năm, các cơ sở sản xuất công nghiệp ở tỉnh thải ra khoảng 19 triệu m3/năm và được dự báo gia tăng 22% mỗi năm; </w:t>
      </w:r>
      <w:r w:rsidRPr="00C678DA">
        <w:rPr>
          <w:rFonts w:eastAsia="Calibri"/>
          <w:sz w:val="22"/>
        </w:rPr>
        <w:lastRenderedPageBreak/>
        <w:t xml:space="preserve">nước thải sinh hoạt phát sinh khoảng 90.000 m3/ngày, trong đó nước thải sinh hoạt đô thị chiếm khoảng 50%. 100% nước thải sinh hoạt đang thải trực tiếp ra sông Cầu và các thuỷ vực tiếp nhận [4, tr.16]. </w:t>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t xml:space="preserve">Trong những năm gần đây, chất lượng nguồn nước lưu vực sông Cầu đang có xu hướng gia tăng ô nhiễm, một số khu vực đã bị ô nhiễm nghiêm trọng do còn khối lượng lớn nước thải từ hoạt động sản xuất công nghiệp, nông nghiệp, y tế và nước thải sinh hoạt chưa được xử lý triệt để trước khi thải ra môi trường. </w:t>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t>Theo kết quả quan trắc hiện trạng môi trường của tỉnh, cho thấy, nhiều đoạn sông, chất lượng nước không đáp ứng được quy chuẩn cho phép đối với nguồn nước cấp cho sinh hoạt, đặc biệt là các đoạn chảy qua thành phố Thái Nguyên, khu đô thị và khu công nghiệp (đoạn từ Sơn Cẩm đến Cầu Mây - trên sông Cầu và các điểm Cầu Huy Ngạc, thị xã Sông Công, cầu Đa Phúc - trên sông Công), hàm lượng các chất ô nhiễm hữu cơ vượt quy chuẩn nguồn cấp nước cho sinh hoạt từ 1,2 đến 3 lần. Trên sông Công đã phát hiện ô nhiễm kim loại nặng vượt quy chuẩn cho phép đến 6 lần do ảnh hưởng của hoạt động khai thác khoáng sản.</w:t>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t>Nhiều sông, suối chính tiếp nhận nguồn nước thải từ hoạt động khai khoáng, sản xuất công nghiệp, sinh hoạt, nông nghiệp đã bị ô nhiễm nghiêm trọng các chất hữu cơ và chất gây phú dưỡng như: suối Phượng Hoàng, suối Cam Giá, sông Nghinh Tường, suối Mỏ Bạch, suối Xương Rồng,…</w:t>
      </w:r>
    </w:p>
    <w:p w:rsidR="00E16C50" w:rsidRPr="00916FE2" w:rsidRDefault="00E16C50" w:rsidP="00E16C50">
      <w:pPr>
        <w:spacing w:before="120" w:line="360" w:lineRule="auto"/>
        <w:jc w:val="both"/>
        <w:rPr>
          <w:i/>
          <w:sz w:val="22"/>
          <w:szCs w:val="22"/>
          <w:lang w:val="hsb-DE"/>
        </w:rPr>
      </w:pPr>
      <w:r w:rsidRPr="00916FE2">
        <w:rPr>
          <w:i/>
          <w:sz w:val="22"/>
          <w:szCs w:val="22"/>
          <w:lang w:val="hsb-DE"/>
        </w:rPr>
        <w:t>* Môi trường không khí</w:t>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t xml:space="preserve">Môi trường không khí đã bị ô nhiễm cục bộ (chủ yếu là ô nhiễm bụi) tại các khu đô thị, khu công nghiệp, khu khai thác khoáng sản. Nguồn gây ô nhiễm chính từ các phương tiên tham gia giao thông, hoạt động sản xuất công nghiệp, như: luyện thép, khai thác khoáng sản, luyện than cốc, đúc gang, xi măng… do công nghệ sản xuất lạc hậu, manh mún, nằm xen kẽ trong các khu dân cư, không có hoặc không vận hành hệ thống xử lý khí bụi thải.  </w:t>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lastRenderedPageBreak/>
        <w:t>Kết quả quan trắc hiện trạng môi trường định kỳ hàng năm cho thấy một số khu vực môi trường không khí bị ô nhiễm, điển hình như như: khu vực nhà máy xi măng Núi Voi, xi măng Quang Sơn, xi măng La Hiên, xung quanh các khu mỏ khai thác than, có nơi hàm lượng bụi đã vượt quy chuẩn cho phép đến 5 lần.</w:t>
      </w:r>
    </w:p>
    <w:p w:rsidR="00E16C50" w:rsidRPr="00916FE2" w:rsidRDefault="00E16C50" w:rsidP="00E16C50">
      <w:pPr>
        <w:spacing w:before="120" w:line="360" w:lineRule="auto"/>
        <w:jc w:val="both"/>
        <w:rPr>
          <w:i/>
          <w:sz w:val="22"/>
          <w:szCs w:val="22"/>
          <w:lang w:val="hsb-DE"/>
        </w:rPr>
      </w:pPr>
      <w:r w:rsidRPr="00916FE2">
        <w:rPr>
          <w:i/>
          <w:sz w:val="22"/>
          <w:szCs w:val="22"/>
          <w:lang w:val="hsb-DE"/>
        </w:rPr>
        <w:t>* Ô nhiễm môi trường tại các khu khai thác, chế biến khoáng sản</w:t>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t>Hiện trên địa bàn tỉnh có 156 mỏ đã được cấp phép khai thác, nhưng chủ yếu khai thác theo phương pháp lộ thiên, chỉ có một số ít mỏ áp dụng phương thức khai thác hầm lò, với công nghệ khai thác cơ giới, bán cơ giới và thủ công, đã và đang tác động xấu đến môi trường ở nhiều khu vực dân cư, gây bức xúc trong xã hội. Các tác động xấu gồm:</w:t>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t xml:space="preserve">- Gây tổn thất tài nguyên khoáng sản do khai thác, chế biến chưa tuân thủ đúng trình tự khai thác hoặc không tuân thủ quy hoạch chi tiết được phê duyệt, không có kết quả điều tra thăm dò chi tiết, sử dụng tài nguyên không đúng mục đích hoặc do khai thác trái phép, như mỏ Làng Cẩm (do khai thác hầm lò, tổn thất tài nguyên có thể lên đến 50%); mỏ đôlômít Làng Lai; tình trạng khai thác trái phép tại khu vực quản lý của mỏ Sắt Trại Cau. Mặt khác, với diện tích mở rộng khai thác, đổ thải đất đá đã làm mất đi hàng ngàn ha đất rừng, đất nông nghiệp. </w:t>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t>- Tạo nên sự biến đổi đáng kể bề mặt địa hình và dòng mặt: do khai thác lộ thiên, nhiều mỏ đã tạo ra các moong khai thác sâu tới hơn 100m so với mực nước biển và đổ thải cao hơn 100m so với mặt địa hình khu vực, như mỏ than Khánh Hòa, Phấn Mễ, Núi Hồng, mỏ sắt Trại Cau đã làm biến dạng địa hình và tác động xấu tới môi trường và hệ sinh thái khu vực. Một số dòng chảy mặt bị bồi lấp, thậm chí bị phủ lấp hoàn toàn, hoặc bị sạt lở vào mùa mưa lũ.</w:t>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t xml:space="preserve">- Ô nhiễm môi trường, như: ô nhiễm bụi do khai thác, chế biến, vận chuyển tại các mỏ khai thác than, mỏ đá, mỏ sắt Trại Cau; ô nhiễm phenol, sunfat, độ pH thấp tại các nguồn nước xung quanh các mỏ khai thác than; ô nhiễm các kim loại nặng tại các mỏ khai thác và chế biến </w:t>
      </w:r>
      <w:r w:rsidRPr="00C678DA">
        <w:rPr>
          <w:rFonts w:eastAsia="Calibri"/>
          <w:sz w:val="22"/>
        </w:rPr>
        <w:lastRenderedPageBreak/>
        <w:t>khoáng sản kim loại, nhất là khu vực lưu giữ bùn thải. Theo kết quả khảo sát, lấy mẫu phân tích nước mặt của các mỏ khoáng sản kim loại trong quá trình lập dự án khắc phục ô nhiễm môi trường trong khai thác khoáng sản cho thấy hầu hết nước mặt xung quanh các mỏ đều đã có dấu hiệu ô nhiễm, 72,3% số mẫu lấy có chỉ tiêu SS, As, Cd, Pb, Zn, Fe vượt từ 1,05 đến 35,8 lần quy chuẩn về chất lượng nước mặt; mẫu nước ngầm có 30% số mẫu có chỉ tiêu pH, Cd, Mn vượt quy chuẩn chất lượng nước ngầm từ 1,2 đến 1,96 lần; có tới 83,3% số mẫu nước thải có chỉ tiêu pH, TSS, Zn, Mn, Fe vượt quy chuẩn môi trường về nước thải từ 1,05 đến 435,5 lần.  Môi trường đất ở nhiều khu mỏ khai thác than, mỏ khai thác kim loại đã bị ô nhiễm kim loại nặng  Zn, Cd, Pb, As, Cu, có nơi hàm lượng ô nhiễm vượt quy chuẩn cho phép đối với đất nông nghiệp tới 23 lần [4, tr.23].</w:t>
      </w:r>
    </w:p>
    <w:p w:rsidR="00E16C50" w:rsidRPr="00916FE2" w:rsidRDefault="00E16C50" w:rsidP="00C678DA">
      <w:pPr>
        <w:tabs>
          <w:tab w:val="left" w:pos="7815"/>
        </w:tabs>
        <w:spacing w:line="280" w:lineRule="exact"/>
        <w:ind w:firstLine="340"/>
        <w:jc w:val="both"/>
        <w:rPr>
          <w:i/>
          <w:sz w:val="22"/>
          <w:szCs w:val="22"/>
          <w:lang w:val="hsb-DE"/>
        </w:rPr>
      </w:pPr>
      <w:r w:rsidRPr="00C678DA">
        <w:rPr>
          <w:rFonts w:eastAsia="Calibri"/>
          <w:sz w:val="22"/>
        </w:rPr>
        <w:t xml:space="preserve">- Ảnh hưởng đến sức khỏe cộng đồng dân cư và công nhân mỏ: Kết quả kiểm tra sức khỏe công nhân hàng năm cho thấy, đối với tất cả 14 triệu chứng và bệnh đường hô hấp nghiên cứu kết quả đều cao hơn vùng đối chứng từ 2,6 lần trở lên. </w:t>
      </w:r>
      <w:r w:rsidRPr="00916FE2">
        <w:rPr>
          <w:sz w:val="22"/>
          <w:szCs w:val="22"/>
          <w:lang w:val="hsb-DE"/>
        </w:rPr>
        <w:t>Đặc biệt là viêm mũi và viêm họng. Hầu hết các mỏ khai thác than, vật liệu xây dựng đều gây ô nhiễm không khí, nhất là ô nhiễm bụi. Kết quả đo đạc, khảo sát cho thấy có 50% - 75% số mẫu khí, bụi có chỉ tiêu vượt quy chuẩn cho phép, trong đó hàm lượng bụi lơ lửng vượt là 1,5 đến 8,6 lần</w:t>
      </w:r>
      <w:r>
        <w:rPr>
          <w:sz w:val="22"/>
          <w:szCs w:val="22"/>
          <w:lang w:val="hsb-DE"/>
        </w:rPr>
        <w:t xml:space="preserve"> [4, tr.25]</w:t>
      </w:r>
      <w:r w:rsidRPr="00916FE2">
        <w:rPr>
          <w:sz w:val="22"/>
          <w:szCs w:val="22"/>
          <w:lang w:val="hsb-DE"/>
        </w:rPr>
        <w:t xml:space="preserve">. </w:t>
      </w:r>
    </w:p>
    <w:p w:rsidR="00E16C50" w:rsidRPr="00916FE2" w:rsidRDefault="00E16C50" w:rsidP="00E16C50">
      <w:pPr>
        <w:tabs>
          <w:tab w:val="center" w:pos="5040"/>
        </w:tabs>
        <w:spacing w:before="120" w:line="360" w:lineRule="auto"/>
        <w:jc w:val="both"/>
        <w:rPr>
          <w:i/>
          <w:sz w:val="22"/>
          <w:szCs w:val="22"/>
          <w:lang w:val="hsb-DE"/>
        </w:rPr>
      </w:pPr>
      <w:r w:rsidRPr="00916FE2">
        <w:rPr>
          <w:i/>
          <w:sz w:val="22"/>
          <w:szCs w:val="22"/>
          <w:lang w:val="hsb-DE"/>
        </w:rPr>
        <w:t>* Môi trường nông nghiệp, nông thôn</w:t>
      </w:r>
      <w:r>
        <w:rPr>
          <w:i/>
          <w:sz w:val="22"/>
          <w:szCs w:val="22"/>
          <w:lang w:val="hsb-DE"/>
        </w:rPr>
        <w:tab/>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t xml:space="preserve">Ô nhiễm môi trường không chỉ xảy ra ở các khu vực công nghiệp và đô thị mà còn ở các vùng nông thôn. Thực tế, việc sử dụng hoá chất bảo vệ thực vật trong sản xuất nông nghiệp chưa được kiểm soát hữu hiệu đã dẫn đến chất lượng môi trường đất, nước đang đứng trước nguy cơ bị ô nhiễm nếu không có giải pháp khắc phục. Hàng năm trên địa bàn tỉnh sử dụng trên 8.950 tấn phân bón, trên 298 tấn hoá chất bảo vệ thực vật, như: các loại phân vô cơ thuộc nhóm chua sinh lý (K2SO4), (NH4)2 SO4, KCl, supe phốt phát còn tồn dư axit đã làm chua đất, kết quả </w:t>
      </w:r>
      <w:r w:rsidRPr="00C678DA">
        <w:rPr>
          <w:rFonts w:eastAsia="Calibri"/>
          <w:sz w:val="22"/>
        </w:rPr>
        <w:lastRenderedPageBreak/>
        <w:t>phân tích đất tại một số khu vực đất chè, đất lúa có pH thấp (dao động từ 4,3 đến 5,7) [4, tr.24].</w:t>
      </w:r>
    </w:p>
    <w:p w:rsidR="00E16C50" w:rsidRPr="00C678DA" w:rsidRDefault="00E16C50" w:rsidP="00C678DA">
      <w:pPr>
        <w:spacing w:line="280" w:lineRule="exact"/>
        <w:ind w:firstLine="340"/>
        <w:jc w:val="both"/>
        <w:rPr>
          <w:rFonts w:eastAsia="Calibri"/>
          <w:spacing w:val="2"/>
          <w:sz w:val="22"/>
        </w:rPr>
      </w:pPr>
      <w:r w:rsidRPr="00C678DA">
        <w:rPr>
          <w:rFonts w:eastAsia="Calibri"/>
          <w:spacing w:val="2"/>
          <w:sz w:val="22"/>
        </w:rPr>
        <w:t xml:space="preserve">Hiện nay việc quản lý, xử lý chất thải rắn sinh hoạt ở nông thôn Thái Nguyên gặp nhiều khó khăn do còn thiếu các khu xử lý chất thải rắn đáp ứng được tiêu chuẩn xử lý. Số lượng các bãi rác đạt tiêu chuẩn còn ít, rác thải chủ yếu được đổ lộ thiên và chưa có biện pháp xử lý nước rỉ rác; nước thải từ các chợ và các rác thải hữu cơ là môi trường thuận lợi cho việc phát tán các dịch bệnh nguy hiểm. Trong tương lai, việc khắc phục vấn đề này sẽ là một thách thức lớn cho tỉnh nếu chưa có quy hoạch và dành quỹ đất, tài chính thích hợp cho công tác này trong khi toàn tỉnh đang chịu sức ép về chất thải rắn sinh hoạt. Chăn nuôi, vệ sinh chuồng trại, vệ sinh hộ gia đình nông thôn chưa có sự quan tâm đúng mức đến bảo vệ môi trường dẫn đến môi trường nước và không khí bị ảnh hưởng, đặc biệt là chất thải chăn nuôi và mùi xung quanh các chuồng trại chăn nuôi. Tại các trang trại chăn nuôi quy mô lớn vấn đề ô nhiễm môi trường không khí xung quanh vẫn chưa có giải pháp giảm thiểu hiệu quả. </w:t>
      </w:r>
    </w:p>
    <w:p w:rsidR="00E16C50" w:rsidRPr="0085369D" w:rsidRDefault="00E16C50" w:rsidP="00E16C50">
      <w:pPr>
        <w:spacing w:before="120" w:line="360" w:lineRule="auto"/>
        <w:jc w:val="both"/>
        <w:rPr>
          <w:b/>
          <w:sz w:val="22"/>
          <w:szCs w:val="22"/>
          <w:lang w:val="hsb-DE"/>
        </w:rPr>
      </w:pPr>
      <w:r w:rsidRPr="0085369D">
        <w:rPr>
          <w:b/>
          <w:sz w:val="22"/>
          <w:szCs w:val="22"/>
        </w:rPr>
        <w:t>KẾT LUẬN</w:t>
      </w:r>
    </w:p>
    <w:p w:rsidR="00E16C50" w:rsidRPr="00C678DA" w:rsidRDefault="009458CB" w:rsidP="00C678DA">
      <w:pPr>
        <w:spacing w:line="280" w:lineRule="exact"/>
        <w:ind w:firstLine="340"/>
        <w:jc w:val="both"/>
        <w:rPr>
          <w:rFonts w:eastAsia="Calibri"/>
          <w:spacing w:val="2"/>
          <w:sz w:val="22"/>
        </w:rPr>
      </w:pPr>
      <w:r w:rsidRPr="00C678DA">
        <w:rPr>
          <w:rFonts w:eastAsia="Calibri"/>
          <w:spacing w:val="2"/>
          <w:sz w:val="22"/>
        </w:rPr>
        <w:t>Như vậy có thể nói, n</w:t>
      </w:r>
      <w:r w:rsidR="00E16C50" w:rsidRPr="00C678DA">
        <w:rPr>
          <w:rFonts w:eastAsia="Calibri"/>
          <w:spacing w:val="2"/>
          <w:sz w:val="22"/>
        </w:rPr>
        <w:t>hững bước đi trong quá trình chuyển dịch cơ cấu kinh tế ngành của tỉnh Thái Nguyên thời gian qua còn theo lối truyền thống mà thiếu những thay đổi quyết liệt về tư duy phát triển trong lựa chọn những ngành kinh tế mũi nhọn có tính đột phá. Mặt khác, chuyển dịch c</w:t>
      </w:r>
      <w:r w:rsidR="00E16C50" w:rsidRPr="00C678DA">
        <w:rPr>
          <w:rFonts w:eastAsia="Calibri" w:hint="eastAsia"/>
          <w:spacing w:val="2"/>
          <w:sz w:val="22"/>
        </w:rPr>
        <w:t>ơ</w:t>
      </w:r>
      <w:r w:rsidR="00E16C50" w:rsidRPr="00C678DA">
        <w:rPr>
          <w:rFonts w:eastAsia="Calibri"/>
          <w:spacing w:val="2"/>
          <w:sz w:val="22"/>
        </w:rPr>
        <w:t xml:space="preserve"> cấu kinh tế ngành ch</w:t>
      </w:r>
      <w:r w:rsidR="00E16C50" w:rsidRPr="00C678DA">
        <w:rPr>
          <w:rFonts w:eastAsia="Calibri" w:hint="eastAsia"/>
          <w:spacing w:val="2"/>
          <w:sz w:val="22"/>
        </w:rPr>
        <w:t>ư</w:t>
      </w:r>
      <w:r w:rsidR="00E16C50" w:rsidRPr="00C678DA">
        <w:rPr>
          <w:rFonts w:eastAsia="Calibri"/>
          <w:spacing w:val="2"/>
          <w:sz w:val="22"/>
        </w:rPr>
        <w:t xml:space="preserve">a bảo </w:t>
      </w:r>
      <w:r w:rsidR="00E16C50" w:rsidRPr="00C678DA">
        <w:rPr>
          <w:rFonts w:eastAsia="Calibri" w:hint="eastAsia"/>
          <w:spacing w:val="2"/>
          <w:sz w:val="22"/>
        </w:rPr>
        <w:t>đ</w:t>
      </w:r>
      <w:r w:rsidR="00E16C50" w:rsidRPr="00C678DA">
        <w:rPr>
          <w:rFonts w:eastAsia="Calibri"/>
          <w:spacing w:val="2"/>
          <w:sz w:val="22"/>
        </w:rPr>
        <w:t>ảm sự bền vững trên cả ba mặt kinh tế, xã hội và môi tr</w:t>
      </w:r>
      <w:r w:rsidR="00E16C50" w:rsidRPr="00C678DA">
        <w:rPr>
          <w:rFonts w:eastAsia="Calibri" w:hint="eastAsia"/>
          <w:spacing w:val="2"/>
          <w:sz w:val="22"/>
        </w:rPr>
        <w:t>ư</w:t>
      </w:r>
      <w:r w:rsidR="00E16C50" w:rsidRPr="00C678DA">
        <w:rPr>
          <w:rFonts w:eastAsia="Calibri"/>
          <w:spacing w:val="2"/>
          <w:sz w:val="22"/>
        </w:rPr>
        <w:t xml:space="preserve">ờng. Tiềm lực kinh tế tạo dựng còn nhỏ; tốc độ tăng trưởng kinh tế tuy đạt mức </w:t>
      </w:r>
      <w:r w:rsidR="00E16C50" w:rsidRPr="00C678DA">
        <w:rPr>
          <w:rFonts w:eastAsia="Calibri"/>
          <w:spacing w:val="2"/>
          <w:sz w:val="22"/>
        </w:rPr>
        <w:lastRenderedPageBreak/>
        <w:t>khá cao nhưng vẫn chưa tương xứng với tiềm năng, thế mạnh của tỉnh. Sự chuyển dịch c</w:t>
      </w:r>
      <w:r w:rsidR="00E16C50" w:rsidRPr="00C678DA">
        <w:rPr>
          <w:rFonts w:eastAsia="Calibri" w:hint="eastAsia"/>
          <w:spacing w:val="2"/>
          <w:sz w:val="22"/>
        </w:rPr>
        <w:t>ơ</w:t>
      </w:r>
      <w:r w:rsidR="00E16C50" w:rsidRPr="00C678DA">
        <w:rPr>
          <w:rFonts w:eastAsia="Calibri"/>
          <w:spacing w:val="2"/>
          <w:sz w:val="22"/>
        </w:rPr>
        <w:t xml:space="preserve"> cấu kinh tế ngành đã phần nào góp phần giải quyết các vấn </w:t>
      </w:r>
      <w:r w:rsidR="00E16C50" w:rsidRPr="00C678DA">
        <w:rPr>
          <w:rFonts w:eastAsia="Calibri" w:hint="eastAsia"/>
          <w:spacing w:val="2"/>
          <w:sz w:val="22"/>
        </w:rPr>
        <w:t>đ</w:t>
      </w:r>
      <w:r w:rsidR="00E16C50" w:rsidRPr="00C678DA">
        <w:rPr>
          <w:rFonts w:eastAsia="Calibri"/>
          <w:spacing w:val="2"/>
          <w:sz w:val="22"/>
        </w:rPr>
        <w:t>ề xã hội, nh</w:t>
      </w:r>
      <w:r w:rsidR="00E16C50" w:rsidRPr="00C678DA">
        <w:rPr>
          <w:rFonts w:eastAsia="Calibri" w:hint="eastAsia"/>
          <w:spacing w:val="2"/>
          <w:sz w:val="22"/>
        </w:rPr>
        <w:t>ư</w:t>
      </w:r>
      <w:r w:rsidR="00E16C50" w:rsidRPr="00C678DA">
        <w:rPr>
          <w:rFonts w:eastAsia="Calibri"/>
          <w:spacing w:val="2"/>
          <w:sz w:val="22"/>
        </w:rPr>
        <w:t xml:space="preserve">ng nhiều vấn </w:t>
      </w:r>
      <w:r w:rsidR="00E16C50" w:rsidRPr="00C678DA">
        <w:rPr>
          <w:rFonts w:eastAsia="Calibri" w:hint="eastAsia"/>
          <w:spacing w:val="2"/>
          <w:sz w:val="22"/>
        </w:rPr>
        <w:t>đ</w:t>
      </w:r>
      <w:r w:rsidR="00E16C50" w:rsidRPr="00C678DA">
        <w:rPr>
          <w:rFonts w:eastAsia="Calibri"/>
          <w:spacing w:val="2"/>
          <w:sz w:val="22"/>
        </w:rPr>
        <w:t>ề vẫn ch</w:t>
      </w:r>
      <w:r w:rsidR="00E16C50" w:rsidRPr="00C678DA">
        <w:rPr>
          <w:rFonts w:eastAsia="Calibri" w:hint="eastAsia"/>
          <w:spacing w:val="2"/>
          <w:sz w:val="22"/>
        </w:rPr>
        <w:t>ư</w:t>
      </w:r>
      <w:r w:rsidR="00E16C50" w:rsidRPr="00C678DA">
        <w:rPr>
          <w:rFonts w:eastAsia="Calibri"/>
          <w:spacing w:val="2"/>
          <w:sz w:val="22"/>
        </w:rPr>
        <w:t xml:space="preserve">a </w:t>
      </w:r>
      <w:r w:rsidR="00E16C50" w:rsidRPr="00C678DA">
        <w:rPr>
          <w:rFonts w:eastAsia="Calibri" w:hint="eastAsia"/>
          <w:spacing w:val="2"/>
          <w:sz w:val="22"/>
        </w:rPr>
        <w:t>đư</w:t>
      </w:r>
      <w:r w:rsidR="00E16C50" w:rsidRPr="00C678DA">
        <w:rPr>
          <w:rFonts w:eastAsia="Calibri"/>
          <w:spacing w:val="2"/>
          <w:sz w:val="22"/>
        </w:rPr>
        <w:t>ợc giải quyết và có phần ngày càng phức tạp h</w:t>
      </w:r>
      <w:r w:rsidR="00E16C50" w:rsidRPr="00C678DA">
        <w:rPr>
          <w:rFonts w:eastAsia="Calibri" w:hint="eastAsia"/>
          <w:spacing w:val="2"/>
          <w:sz w:val="22"/>
        </w:rPr>
        <w:t>ơ</w:t>
      </w:r>
      <w:r w:rsidR="00E16C50" w:rsidRPr="00C678DA">
        <w:rPr>
          <w:rFonts w:eastAsia="Calibri"/>
          <w:spacing w:val="2"/>
          <w:sz w:val="22"/>
        </w:rPr>
        <w:t>n nh</w:t>
      </w:r>
      <w:r w:rsidR="00E16C50" w:rsidRPr="00C678DA">
        <w:rPr>
          <w:rFonts w:eastAsia="Calibri" w:hint="eastAsia"/>
          <w:spacing w:val="2"/>
          <w:sz w:val="22"/>
        </w:rPr>
        <w:t>ư</w:t>
      </w:r>
      <w:r w:rsidR="00E16C50" w:rsidRPr="00C678DA">
        <w:rPr>
          <w:rFonts w:eastAsia="Calibri"/>
          <w:spacing w:val="2"/>
          <w:sz w:val="22"/>
        </w:rPr>
        <w:t xml:space="preserve"> vấn </w:t>
      </w:r>
      <w:r w:rsidR="00E16C50" w:rsidRPr="00C678DA">
        <w:rPr>
          <w:rFonts w:eastAsia="Calibri" w:hint="eastAsia"/>
          <w:spacing w:val="2"/>
          <w:sz w:val="22"/>
        </w:rPr>
        <w:t>đ</w:t>
      </w:r>
      <w:r w:rsidR="00E16C50" w:rsidRPr="00C678DA">
        <w:rPr>
          <w:rFonts w:eastAsia="Calibri"/>
          <w:spacing w:val="2"/>
          <w:sz w:val="22"/>
        </w:rPr>
        <w:t>ề chỗ ở cho ng</w:t>
      </w:r>
      <w:r w:rsidR="00E16C50" w:rsidRPr="00C678DA">
        <w:rPr>
          <w:rFonts w:eastAsia="Calibri" w:hint="eastAsia"/>
          <w:spacing w:val="2"/>
          <w:sz w:val="22"/>
        </w:rPr>
        <w:t>ư</w:t>
      </w:r>
      <w:r w:rsidR="00E16C50" w:rsidRPr="00C678DA">
        <w:rPr>
          <w:rFonts w:eastAsia="Calibri"/>
          <w:spacing w:val="2"/>
          <w:sz w:val="22"/>
        </w:rPr>
        <w:t xml:space="preserve">ời lao </w:t>
      </w:r>
      <w:r w:rsidR="00E16C50" w:rsidRPr="00C678DA">
        <w:rPr>
          <w:rFonts w:eastAsia="Calibri" w:hint="eastAsia"/>
          <w:spacing w:val="2"/>
          <w:sz w:val="22"/>
        </w:rPr>
        <w:t>đ</w:t>
      </w:r>
      <w:r w:rsidR="00E16C50" w:rsidRPr="00C678DA">
        <w:rPr>
          <w:rFonts w:eastAsia="Calibri"/>
          <w:spacing w:val="2"/>
          <w:sz w:val="22"/>
        </w:rPr>
        <w:t xml:space="preserve">ộng, vấn </w:t>
      </w:r>
      <w:r w:rsidR="00E16C50" w:rsidRPr="00C678DA">
        <w:rPr>
          <w:rFonts w:eastAsia="Calibri" w:hint="eastAsia"/>
          <w:spacing w:val="2"/>
          <w:sz w:val="22"/>
        </w:rPr>
        <w:t>đ</w:t>
      </w:r>
      <w:r w:rsidR="00E16C50" w:rsidRPr="00C678DA">
        <w:rPr>
          <w:rFonts w:eastAsia="Calibri"/>
          <w:spacing w:val="2"/>
          <w:sz w:val="22"/>
        </w:rPr>
        <w:t xml:space="preserve">ề thất nghiệp ở </w:t>
      </w:r>
      <w:r w:rsidR="00E16C50" w:rsidRPr="00C678DA">
        <w:rPr>
          <w:rFonts w:eastAsia="Calibri" w:hint="eastAsia"/>
          <w:spacing w:val="2"/>
          <w:sz w:val="22"/>
        </w:rPr>
        <w:t>đ</w:t>
      </w:r>
      <w:r w:rsidR="00E16C50" w:rsidRPr="00C678DA">
        <w:rPr>
          <w:rFonts w:eastAsia="Calibri"/>
          <w:spacing w:val="2"/>
          <w:sz w:val="22"/>
        </w:rPr>
        <w:t>ô thị và việc làm ở nông thôn, tệ nạn xã hội, tai nạn giao thông. Chuyển dịch cơ cấu kinh tế ngành ch</w:t>
      </w:r>
      <w:r w:rsidR="00E16C50" w:rsidRPr="00C678DA">
        <w:rPr>
          <w:rFonts w:eastAsia="Calibri" w:hint="eastAsia"/>
          <w:spacing w:val="2"/>
          <w:sz w:val="22"/>
        </w:rPr>
        <w:t>ư</w:t>
      </w:r>
      <w:r w:rsidR="00E16C50" w:rsidRPr="00C678DA">
        <w:rPr>
          <w:rFonts w:eastAsia="Calibri"/>
          <w:spacing w:val="2"/>
          <w:sz w:val="22"/>
        </w:rPr>
        <w:t xml:space="preserve">a hợp lý cũng </w:t>
      </w:r>
      <w:r w:rsidR="00E16C50" w:rsidRPr="00C678DA">
        <w:rPr>
          <w:rFonts w:eastAsia="Calibri" w:hint="eastAsia"/>
          <w:spacing w:val="2"/>
          <w:sz w:val="22"/>
        </w:rPr>
        <w:t>đ</w:t>
      </w:r>
      <w:r w:rsidR="00E16C50" w:rsidRPr="00C678DA">
        <w:rPr>
          <w:rFonts w:eastAsia="Calibri"/>
          <w:spacing w:val="2"/>
          <w:sz w:val="22"/>
        </w:rPr>
        <w:t xml:space="preserve">ã làm gia tăng nguy cơ, mức độ ô nhiễm, suy thoái môi trường, nhất là ở các </w:t>
      </w:r>
      <w:r w:rsidR="00E16C50" w:rsidRPr="00C678DA">
        <w:rPr>
          <w:rFonts w:eastAsia="Calibri" w:hint="eastAsia"/>
          <w:spacing w:val="2"/>
          <w:sz w:val="22"/>
        </w:rPr>
        <w:t>đ</w:t>
      </w:r>
      <w:r w:rsidR="00E16C50" w:rsidRPr="00C678DA">
        <w:rPr>
          <w:rFonts w:eastAsia="Calibri"/>
          <w:spacing w:val="2"/>
          <w:sz w:val="22"/>
        </w:rPr>
        <w:t xml:space="preserve">ô thị, khu công nghiệp. Những vấn </w:t>
      </w:r>
      <w:r w:rsidR="00E16C50" w:rsidRPr="00C678DA">
        <w:rPr>
          <w:rFonts w:eastAsia="Calibri" w:hint="eastAsia"/>
          <w:spacing w:val="2"/>
          <w:sz w:val="22"/>
        </w:rPr>
        <w:t>đ</w:t>
      </w:r>
      <w:r w:rsidR="00E16C50" w:rsidRPr="00C678DA">
        <w:rPr>
          <w:rFonts w:eastAsia="Calibri"/>
          <w:spacing w:val="2"/>
          <w:sz w:val="22"/>
        </w:rPr>
        <w:t xml:space="preserve">ề xã hội, môi trường sẽ tác động trở lại quá trình phát triển kinh tế. Nếu không có các biện pháp tích cực, kịp thời thì không thể bảo </w:t>
      </w:r>
      <w:r w:rsidR="00E16C50" w:rsidRPr="00C678DA">
        <w:rPr>
          <w:rFonts w:eastAsia="Calibri" w:hint="eastAsia"/>
          <w:spacing w:val="2"/>
          <w:sz w:val="22"/>
        </w:rPr>
        <w:t>đ</w:t>
      </w:r>
      <w:r w:rsidR="00E16C50" w:rsidRPr="00C678DA">
        <w:rPr>
          <w:rFonts w:eastAsia="Calibri"/>
          <w:spacing w:val="2"/>
          <w:sz w:val="22"/>
        </w:rPr>
        <w:t>ảm sự chuyển dịch c</w:t>
      </w:r>
      <w:r w:rsidR="00E16C50" w:rsidRPr="00C678DA">
        <w:rPr>
          <w:rFonts w:eastAsia="Calibri" w:hint="eastAsia"/>
          <w:spacing w:val="2"/>
          <w:sz w:val="22"/>
        </w:rPr>
        <w:t>ơ</w:t>
      </w:r>
      <w:r w:rsidR="00E16C50" w:rsidRPr="00C678DA">
        <w:rPr>
          <w:rFonts w:eastAsia="Calibri"/>
          <w:spacing w:val="2"/>
          <w:sz w:val="22"/>
        </w:rPr>
        <w:t xml:space="preserve"> cấu kinh tế ngành trên địa bàn tỉnh Thái Nguyên theo hướng phát triển bền vững.</w:t>
      </w:r>
    </w:p>
    <w:p w:rsidR="00E16C50" w:rsidRPr="00345D73" w:rsidRDefault="00E16C50" w:rsidP="00E16C50">
      <w:pPr>
        <w:tabs>
          <w:tab w:val="left" w:pos="5145"/>
        </w:tabs>
        <w:spacing w:line="360" w:lineRule="auto"/>
        <w:rPr>
          <w:sz w:val="22"/>
          <w:szCs w:val="22"/>
          <w:lang w:val="es-ES"/>
        </w:rPr>
      </w:pPr>
      <w:r w:rsidRPr="00345D73">
        <w:rPr>
          <w:sz w:val="22"/>
          <w:szCs w:val="22"/>
          <w:lang w:val="es-ES"/>
        </w:rPr>
        <w:t>TÀI LIỆU THAM KHẢO</w:t>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t>[1]. Thainguyen.gov.vn</w:t>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t xml:space="preserve">[2]. UBND tỉnh Thái Nguyên (2011), </w:t>
      </w:r>
      <w:r w:rsidRPr="00C00460">
        <w:rPr>
          <w:rFonts w:eastAsia="Calibri"/>
          <w:i/>
          <w:sz w:val="22"/>
        </w:rPr>
        <w:t>“Báo cáo quy hoạch tổng thể phát triển kinh tế - xã hội  tỉnh Thái Nguyên đến năm 2020”,</w:t>
      </w:r>
      <w:r w:rsidRPr="00C678DA">
        <w:rPr>
          <w:rFonts w:eastAsia="Calibri"/>
          <w:sz w:val="22"/>
        </w:rPr>
        <w:t>Thái Nguyên.</w:t>
      </w:r>
    </w:p>
    <w:p w:rsidR="00E16C50" w:rsidRPr="00C00460" w:rsidRDefault="00E16C50" w:rsidP="00C678DA">
      <w:pPr>
        <w:tabs>
          <w:tab w:val="left" w:pos="7815"/>
        </w:tabs>
        <w:spacing w:line="280" w:lineRule="exact"/>
        <w:ind w:firstLine="340"/>
        <w:jc w:val="both"/>
        <w:rPr>
          <w:rFonts w:eastAsia="Calibri"/>
          <w:i/>
          <w:sz w:val="22"/>
        </w:rPr>
      </w:pPr>
      <w:r w:rsidRPr="00C678DA">
        <w:rPr>
          <w:rFonts w:eastAsia="Calibri"/>
          <w:sz w:val="22"/>
        </w:rPr>
        <w:t xml:space="preserve">[3]. UBND tỉnh Thái Nguyên (2011), </w:t>
      </w:r>
      <w:r w:rsidRPr="00C00460">
        <w:rPr>
          <w:rFonts w:eastAsia="Calibri"/>
          <w:i/>
          <w:sz w:val="22"/>
        </w:rPr>
        <w:t>“Công báo tỉnh Thái Nguyên”</w:t>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t xml:space="preserve">[4]. UBND tỉnh Thái Nguyên (2012), </w:t>
      </w:r>
      <w:r w:rsidRPr="00C00460">
        <w:rPr>
          <w:rFonts w:eastAsia="Calibri"/>
          <w:i/>
          <w:sz w:val="22"/>
        </w:rPr>
        <w:t>“Đề án bảo vệ môi trường tỉnh Thái Nguyên, giai đoạn 2011 – 2015”,</w:t>
      </w:r>
      <w:r w:rsidRPr="00C678DA">
        <w:rPr>
          <w:rFonts w:eastAsia="Calibri"/>
          <w:sz w:val="22"/>
        </w:rPr>
        <w:t xml:space="preserve"> Thái Nguyên</w:t>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t xml:space="preserve">[5]. UBND tỉnh Thái Nguyên (2013), </w:t>
      </w:r>
      <w:r w:rsidRPr="00C00460">
        <w:rPr>
          <w:rFonts w:eastAsia="Calibri"/>
          <w:i/>
          <w:sz w:val="22"/>
        </w:rPr>
        <w:t>“Niên giám thống kê tỉnh Thái Nguyên  năm 2012”</w:t>
      </w:r>
      <w:r w:rsidRPr="00C678DA">
        <w:rPr>
          <w:rFonts w:eastAsia="Calibri"/>
          <w:sz w:val="22"/>
        </w:rPr>
        <w:t xml:space="preserve"> </w:t>
      </w:r>
    </w:p>
    <w:p w:rsidR="00E16C50" w:rsidRPr="00C678DA" w:rsidRDefault="00E16C50" w:rsidP="00C678DA">
      <w:pPr>
        <w:tabs>
          <w:tab w:val="left" w:pos="7815"/>
        </w:tabs>
        <w:spacing w:line="280" w:lineRule="exact"/>
        <w:ind w:firstLine="340"/>
        <w:jc w:val="both"/>
        <w:rPr>
          <w:rFonts w:eastAsia="Calibri"/>
          <w:sz w:val="22"/>
        </w:rPr>
      </w:pPr>
      <w:r w:rsidRPr="00C678DA">
        <w:rPr>
          <w:rFonts w:eastAsia="Calibri"/>
          <w:sz w:val="22"/>
        </w:rPr>
        <w:t xml:space="preserve">[6]. UBND tỉnh Thái Nguyên (2011), </w:t>
      </w:r>
      <w:r w:rsidRPr="00C00460">
        <w:rPr>
          <w:rFonts w:eastAsia="Calibri"/>
          <w:i/>
          <w:sz w:val="22"/>
        </w:rPr>
        <w:t>“Quy hoạch bảo vệ môi trường và phát triển bền vững trong lĩnh vực nông nghiệp, nông thôn tỉnh Thái Nguyên đến năm 2020”,</w:t>
      </w:r>
      <w:r w:rsidRPr="00C678DA">
        <w:rPr>
          <w:rFonts w:eastAsia="Calibri"/>
          <w:sz w:val="22"/>
        </w:rPr>
        <w:t xml:space="preserve">  Thái Nguyên.</w:t>
      </w:r>
    </w:p>
    <w:p w:rsidR="00E16C50" w:rsidRDefault="00E16C50">
      <w:pPr>
        <w:sectPr w:rsidR="00E16C50" w:rsidSect="00E16C50">
          <w:pgSz w:w="12240" w:h="15840"/>
          <w:pgMar w:top="1440" w:right="1440" w:bottom="1440" w:left="1440" w:header="720" w:footer="720" w:gutter="0"/>
          <w:cols w:num="2" w:space="720"/>
          <w:docGrid w:linePitch="360"/>
        </w:sectPr>
      </w:pPr>
    </w:p>
    <w:p w:rsidR="00E16C50" w:rsidRDefault="00E16C50" w:rsidP="00E16C50">
      <w:pPr>
        <w:tabs>
          <w:tab w:val="num" w:pos="540"/>
        </w:tabs>
        <w:spacing w:line="348" w:lineRule="auto"/>
        <w:jc w:val="both"/>
        <w:rPr>
          <w:sz w:val="22"/>
          <w:szCs w:val="22"/>
        </w:rPr>
      </w:pPr>
    </w:p>
    <w:p w:rsidR="00E16C50" w:rsidRDefault="00E16C50" w:rsidP="00E16C50">
      <w:pPr>
        <w:tabs>
          <w:tab w:val="num" w:pos="540"/>
        </w:tabs>
        <w:spacing w:line="348" w:lineRule="auto"/>
        <w:jc w:val="both"/>
        <w:rPr>
          <w:sz w:val="22"/>
          <w:szCs w:val="22"/>
        </w:rPr>
      </w:pPr>
      <w:r>
        <w:rPr>
          <w:sz w:val="22"/>
          <w:szCs w:val="22"/>
        </w:rPr>
        <w:t>SUMMARY</w:t>
      </w:r>
    </w:p>
    <w:p w:rsidR="00E16C50" w:rsidRDefault="00E16C50" w:rsidP="00E16C50">
      <w:pPr>
        <w:tabs>
          <w:tab w:val="num" w:pos="540"/>
        </w:tabs>
        <w:spacing w:line="348" w:lineRule="auto"/>
        <w:jc w:val="center"/>
        <w:rPr>
          <w:rStyle w:val="hps"/>
          <w:b/>
        </w:rPr>
      </w:pPr>
      <w:r w:rsidRPr="00A456D1">
        <w:rPr>
          <w:rStyle w:val="hps"/>
          <w:b/>
        </w:rPr>
        <w:t xml:space="preserve">SUSTAINABILITY ASSESSMENT OF </w:t>
      </w:r>
      <w:r>
        <w:rPr>
          <w:rStyle w:val="hps"/>
          <w:b/>
        </w:rPr>
        <w:t xml:space="preserve">RESTRUCTURING </w:t>
      </w:r>
      <w:r w:rsidRPr="0025440E">
        <w:rPr>
          <w:rStyle w:val="hps"/>
          <w:b/>
        </w:rPr>
        <w:t xml:space="preserve"> ECONOMIC SECTOR</w:t>
      </w:r>
    </w:p>
    <w:p w:rsidR="00E16C50" w:rsidRDefault="00E16C50" w:rsidP="00E16C50">
      <w:pPr>
        <w:tabs>
          <w:tab w:val="num" w:pos="540"/>
        </w:tabs>
        <w:spacing w:line="348" w:lineRule="auto"/>
        <w:jc w:val="center"/>
        <w:rPr>
          <w:rStyle w:val="hps"/>
          <w:b/>
        </w:rPr>
      </w:pPr>
      <w:r w:rsidRPr="00E50B71">
        <w:rPr>
          <w:rStyle w:val="hps"/>
          <w:b/>
        </w:rPr>
        <w:t>IN THE</w:t>
      </w:r>
      <w:r w:rsidRPr="00E50B71">
        <w:rPr>
          <w:b/>
        </w:rPr>
        <w:t xml:space="preserve"> </w:t>
      </w:r>
      <w:r w:rsidRPr="00E50B71">
        <w:rPr>
          <w:rStyle w:val="hps"/>
          <w:b/>
        </w:rPr>
        <w:t>PROVINCE</w:t>
      </w:r>
      <w:r w:rsidRPr="00E50B71">
        <w:rPr>
          <w:b/>
        </w:rPr>
        <w:t xml:space="preserve"> </w:t>
      </w:r>
      <w:r w:rsidRPr="00E50B71">
        <w:rPr>
          <w:rStyle w:val="hps"/>
          <w:b/>
        </w:rPr>
        <w:t>OF THAI NGUYEN</w:t>
      </w:r>
      <w:r w:rsidRPr="00E50B71">
        <w:rPr>
          <w:b/>
        </w:rPr>
        <w:t xml:space="preserve"> </w:t>
      </w:r>
      <w:r w:rsidRPr="00E50B71">
        <w:rPr>
          <w:rStyle w:val="hps"/>
          <w:b/>
        </w:rPr>
        <w:t>PERIOD</w:t>
      </w:r>
      <w:r w:rsidRPr="00E50B71">
        <w:rPr>
          <w:b/>
        </w:rPr>
        <w:t xml:space="preserve"> </w:t>
      </w:r>
      <w:r w:rsidRPr="00E50B71">
        <w:rPr>
          <w:rStyle w:val="hps"/>
          <w:b/>
        </w:rPr>
        <w:t xml:space="preserve">2006 </w:t>
      </w:r>
      <w:r>
        <w:rPr>
          <w:rStyle w:val="hps"/>
          <w:b/>
        </w:rPr>
        <w:t>–</w:t>
      </w:r>
      <w:r w:rsidRPr="00E50B71">
        <w:rPr>
          <w:rStyle w:val="hps"/>
          <w:b/>
        </w:rPr>
        <w:t xml:space="preserve"> 2012</w:t>
      </w:r>
    </w:p>
    <w:p w:rsidR="00E16C50" w:rsidRPr="00A456D1" w:rsidRDefault="00E16C50" w:rsidP="00E16C50">
      <w:pPr>
        <w:tabs>
          <w:tab w:val="num" w:pos="540"/>
        </w:tabs>
        <w:spacing w:line="348" w:lineRule="auto"/>
        <w:jc w:val="right"/>
        <w:rPr>
          <w:b/>
        </w:rPr>
      </w:pPr>
      <w:r>
        <w:rPr>
          <w:b/>
          <w:sz w:val="22"/>
          <w:szCs w:val="22"/>
        </w:rPr>
        <w:t>Phạm Thị Nga</w:t>
      </w:r>
    </w:p>
    <w:p w:rsidR="00E16C50" w:rsidRPr="00E50B71" w:rsidRDefault="00E16C50" w:rsidP="00E16C50">
      <w:pPr>
        <w:tabs>
          <w:tab w:val="num" w:pos="540"/>
        </w:tabs>
        <w:spacing w:line="348" w:lineRule="auto"/>
        <w:jc w:val="right"/>
        <w:rPr>
          <w:b/>
          <w:sz w:val="22"/>
          <w:szCs w:val="22"/>
        </w:rPr>
      </w:pPr>
      <w:smartTag w:uri="urn:schemas-microsoft-com:office:smarttags" w:element="place">
        <w:smartTag w:uri="urn:schemas-microsoft-com:office:smarttags" w:element="PlaceType">
          <w:r>
            <w:rPr>
              <w:i/>
              <w:sz w:val="22"/>
              <w:szCs w:val="22"/>
            </w:rPr>
            <w:t>College</w:t>
          </w:r>
        </w:smartTag>
        <w:r>
          <w:rPr>
            <w:i/>
            <w:sz w:val="22"/>
            <w:szCs w:val="22"/>
          </w:rPr>
          <w:t xml:space="preserve"> of </w:t>
        </w:r>
        <w:smartTag w:uri="urn:schemas-microsoft-com:office:smarttags" w:element="PlaceName">
          <w:r>
            <w:rPr>
              <w:i/>
              <w:sz w:val="22"/>
              <w:szCs w:val="22"/>
            </w:rPr>
            <w:t>Economics</w:t>
          </w:r>
        </w:smartTag>
      </w:smartTag>
      <w:r>
        <w:rPr>
          <w:i/>
          <w:sz w:val="22"/>
          <w:szCs w:val="22"/>
        </w:rPr>
        <w:t xml:space="preserve"> and Business Administration - TNU</w:t>
      </w:r>
    </w:p>
    <w:p w:rsidR="00E16C50" w:rsidRDefault="00E16C50" w:rsidP="00C00460">
      <w:pPr>
        <w:spacing w:line="240" w:lineRule="exact"/>
        <w:ind w:firstLine="346"/>
        <w:jc w:val="both"/>
        <w:rPr>
          <w:sz w:val="22"/>
          <w:szCs w:val="22"/>
        </w:rPr>
      </w:pPr>
      <w:r w:rsidRPr="0025440E">
        <w:rPr>
          <w:sz w:val="22"/>
          <w:szCs w:val="22"/>
        </w:rPr>
        <w:t>The process of economic sector</w:t>
      </w:r>
      <w:r>
        <w:rPr>
          <w:sz w:val="22"/>
          <w:szCs w:val="22"/>
        </w:rPr>
        <w:t xml:space="preserve"> restructuring of Thai Nguyen province</w:t>
      </w:r>
      <w:r w:rsidRPr="0025440E">
        <w:rPr>
          <w:sz w:val="22"/>
          <w:szCs w:val="22"/>
        </w:rPr>
        <w:t xml:space="preserve"> has made certain changes in the structure of GDP and within each sector . However, there are two fundamental issues need to be </w:t>
      </w:r>
      <w:r w:rsidRPr="0025440E">
        <w:rPr>
          <w:sz w:val="22"/>
          <w:szCs w:val="22"/>
        </w:rPr>
        <w:lastRenderedPageBreak/>
        <w:t xml:space="preserve">noted. </w:t>
      </w:r>
      <w:r w:rsidRPr="00AC6FD7">
        <w:rPr>
          <w:i/>
          <w:sz w:val="22"/>
          <w:szCs w:val="22"/>
        </w:rPr>
        <w:t>First,</w:t>
      </w:r>
      <w:r w:rsidRPr="0025440E">
        <w:rPr>
          <w:sz w:val="22"/>
          <w:szCs w:val="22"/>
        </w:rPr>
        <w:t xml:space="preserve"> even though the industry structure as well as macroeconomic internal structure of each sector of the economy has shifted in a p</w:t>
      </w:r>
      <w:r>
        <w:rPr>
          <w:sz w:val="22"/>
          <w:szCs w:val="22"/>
        </w:rPr>
        <w:t>ositive direction , but the speed</w:t>
      </w:r>
      <w:bookmarkStart w:id="0" w:name="_GoBack"/>
      <w:bookmarkEnd w:id="0"/>
      <w:r w:rsidRPr="0025440E">
        <w:rPr>
          <w:sz w:val="22"/>
          <w:szCs w:val="22"/>
        </w:rPr>
        <w:t xml:space="preserve"> was slow . On the other hand , there are still many potential factors does not ensure the sustainable development of the economy in all 3 aspects: economic , social and environmental . </w:t>
      </w:r>
      <w:r w:rsidRPr="00AC6FD7">
        <w:rPr>
          <w:i/>
          <w:sz w:val="22"/>
          <w:szCs w:val="22"/>
        </w:rPr>
        <w:t>Second,</w:t>
      </w:r>
      <w:r w:rsidRPr="0025440E">
        <w:rPr>
          <w:sz w:val="22"/>
          <w:szCs w:val="22"/>
        </w:rPr>
        <w:t xml:space="preserve"> the downside particularly worrisome especially labor structure had little change . Much additional labor is still in the agricultural sector , low productivity and labor mostly unskilled workers , there were not many opportunities for self-realization in a flexible way switch . In this context , the paper analyzed and evaluated the sustainability of economic restructuring in the sector in the province </w:t>
      </w:r>
      <w:r w:rsidR="00C678DA">
        <w:rPr>
          <w:sz w:val="22"/>
          <w:szCs w:val="22"/>
        </w:rPr>
        <w:t>of Thai Nguyen period 2006-2012</w:t>
      </w:r>
      <w:r w:rsidRPr="0025440E">
        <w:rPr>
          <w:sz w:val="22"/>
          <w:szCs w:val="22"/>
        </w:rPr>
        <w:t>.</w:t>
      </w:r>
    </w:p>
    <w:p w:rsidR="00E16C50" w:rsidRPr="007E7E79" w:rsidRDefault="00E16C50" w:rsidP="00C00460">
      <w:pPr>
        <w:spacing w:line="240" w:lineRule="exact"/>
        <w:ind w:firstLine="346"/>
        <w:jc w:val="both"/>
        <w:rPr>
          <w:sz w:val="22"/>
          <w:szCs w:val="22"/>
        </w:rPr>
      </w:pPr>
      <w:r w:rsidRPr="007E7E79">
        <w:rPr>
          <w:b/>
          <w:sz w:val="22"/>
          <w:szCs w:val="22"/>
        </w:rPr>
        <w:t>Keywords:</w:t>
      </w:r>
      <w:r w:rsidRPr="007E7E79">
        <w:rPr>
          <w:sz w:val="22"/>
          <w:szCs w:val="22"/>
        </w:rPr>
        <w:t xml:space="preserve"> </w:t>
      </w:r>
      <w:r w:rsidRPr="007E7E79">
        <w:rPr>
          <w:i/>
          <w:sz w:val="22"/>
          <w:szCs w:val="22"/>
        </w:rPr>
        <w:t>assessment, sustainability, economic restructuring in the sector, Thai Nguyen</w:t>
      </w:r>
      <w:r>
        <w:rPr>
          <w:sz w:val="22"/>
          <w:szCs w:val="22"/>
        </w:rPr>
        <w:tab/>
      </w:r>
    </w:p>
    <w:p w:rsidR="00E16C50" w:rsidRDefault="00E16C50"/>
    <w:sectPr w:rsidR="00E16C50" w:rsidSect="00567C6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CB3" w:rsidRDefault="00A07CB3" w:rsidP="006F07A7">
      <w:r>
        <w:separator/>
      </w:r>
    </w:p>
  </w:endnote>
  <w:endnote w:type="continuationSeparator" w:id="1">
    <w:p w:rsidR="00A07CB3" w:rsidRDefault="00A07CB3" w:rsidP="006F07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45672"/>
      <w:docPartObj>
        <w:docPartGallery w:val="Page Numbers (Bottom of Page)"/>
        <w:docPartUnique/>
      </w:docPartObj>
    </w:sdtPr>
    <w:sdtContent>
      <w:p w:rsidR="00183203" w:rsidRDefault="00A45F0F">
        <w:pPr>
          <w:pStyle w:val="Footer"/>
          <w:jc w:val="center"/>
        </w:pPr>
        <w:r>
          <w:fldChar w:fldCharType="begin"/>
        </w:r>
        <w:r w:rsidR="00E16C50">
          <w:instrText xml:space="preserve"> PAGE   \* MERGEFORMAT </w:instrText>
        </w:r>
        <w:r>
          <w:fldChar w:fldCharType="separate"/>
        </w:r>
        <w:r w:rsidR="00FD6C2D">
          <w:rPr>
            <w:noProof/>
          </w:rPr>
          <w:t>4</w:t>
        </w:r>
        <w:r>
          <w:rPr>
            <w:noProof/>
          </w:rPr>
          <w:fldChar w:fldCharType="end"/>
        </w:r>
      </w:p>
    </w:sdtContent>
  </w:sdt>
  <w:p w:rsidR="00183203" w:rsidRDefault="00A07C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CB3" w:rsidRDefault="00A07CB3" w:rsidP="006F07A7">
      <w:r>
        <w:separator/>
      </w:r>
    </w:p>
  </w:footnote>
  <w:footnote w:type="continuationSeparator" w:id="1">
    <w:p w:rsidR="00A07CB3" w:rsidRDefault="00A07CB3" w:rsidP="006F07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16C50"/>
    <w:rsid w:val="005A3E3F"/>
    <w:rsid w:val="00642EFA"/>
    <w:rsid w:val="006F07A7"/>
    <w:rsid w:val="009458CB"/>
    <w:rsid w:val="00A07CB3"/>
    <w:rsid w:val="00A45F0F"/>
    <w:rsid w:val="00C00460"/>
    <w:rsid w:val="00C678DA"/>
    <w:rsid w:val="00E16C50"/>
    <w:rsid w:val="00FD6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C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C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16C50"/>
    <w:pPr>
      <w:spacing w:before="100" w:beforeAutospacing="1" w:after="100" w:afterAutospacing="1"/>
    </w:pPr>
  </w:style>
  <w:style w:type="character" w:styleId="Hyperlink">
    <w:name w:val="Hyperlink"/>
    <w:basedOn w:val="DefaultParagraphFont"/>
    <w:rsid w:val="00E16C50"/>
    <w:rPr>
      <w:color w:val="0000FF"/>
      <w:u w:val="single"/>
    </w:rPr>
  </w:style>
  <w:style w:type="paragraph" w:customStyle="1" w:styleId="abc">
    <w:name w:val="abc"/>
    <w:basedOn w:val="Normal"/>
    <w:rsid w:val="00E16C50"/>
    <w:rPr>
      <w:rFonts w:ascii=".VnTime" w:hAnsi=".VnTime"/>
      <w:snapToGrid w:val="0"/>
      <w:sz w:val="28"/>
    </w:rPr>
  </w:style>
  <w:style w:type="paragraph" w:styleId="Footer">
    <w:name w:val="footer"/>
    <w:basedOn w:val="Normal"/>
    <w:link w:val="FooterChar"/>
    <w:uiPriority w:val="99"/>
    <w:unhideWhenUsed/>
    <w:rsid w:val="00E16C50"/>
    <w:pPr>
      <w:tabs>
        <w:tab w:val="center" w:pos="4680"/>
        <w:tab w:val="right" w:pos="9360"/>
      </w:tabs>
    </w:pPr>
  </w:style>
  <w:style w:type="character" w:customStyle="1" w:styleId="FooterChar">
    <w:name w:val="Footer Char"/>
    <w:basedOn w:val="DefaultParagraphFont"/>
    <w:link w:val="Footer"/>
    <w:uiPriority w:val="99"/>
    <w:rsid w:val="00E16C50"/>
    <w:rPr>
      <w:rFonts w:ascii="Times New Roman" w:eastAsia="Times New Roman" w:hAnsi="Times New Roman" w:cs="Times New Roman"/>
      <w:sz w:val="24"/>
      <w:szCs w:val="24"/>
    </w:rPr>
  </w:style>
  <w:style w:type="character" w:customStyle="1" w:styleId="hps">
    <w:name w:val="hps"/>
    <w:basedOn w:val="DefaultParagraphFont"/>
    <w:rsid w:val="00E16C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etanh8909@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9</Pages>
  <Words>3591</Words>
  <Characters>20471</Characters>
  <Application>Microsoft Office Word</Application>
  <DocSecurity>0</DocSecurity>
  <Lines>170</Lines>
  <Paragraphs>48</Paragraphs>
  <ScaleCrop>false</ScaleCrop>
  <Company>Microsoft</Company>
  <LinksUpToDate>false</LinksUpToDate>
  <CharactersWithSpaces>24014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DTv4</dc:creator>
  <cp:keywords/>
  <dc:description/>
  <cp:lastModifiedBy>DTv4</cp:lastModifiedBy>
  <cp:revision>7</cp:revision>
  <dcterms:created xsi:type="dcterms:W3CDTF">2014-07-13T08:16:00Z</dcterms:created>
  <dcterms:modified xsi:type="dcterms:W3CDTF">2014-09-20T15:29:00Z</dcterms:modified>
</cp:coreProperties>
</file>